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566"/>
        <w:jc w:val="both"/>
        <w:keepLines w:val="0"/>
        <w:keepNext w:val="0"/>
        <w:pageBreakBefore w:val="0"/>
        <w:spacing w:line="360" w:lineRule="auto"/>
        <w:rPr>
          <w:rFonts w:hint="eastAsia" w:ascii="宋体" w:hAnsi="宋体" w:cs="宋体"/>
          <w:b/>
          <w:bCs/>
          <w:color w:val="auto"/>
          <w:sz w:val="52"/>
          <w:szCs w:val="52"/>
        </w:rPr>
      </w:pPr>
      <w:r/>
      <w:bookmarkStart w:id="0" w:name="_Toc7713_WPSOffice_Type1"/>
      <w:r/>
      <w:r/>
    </w:p>
    <w:p>
      <w:pPr>
        <w:jc w:val="center"/>
        <w:keepLines w:val="0"/>
        <w:keepNext w:val="0"/>
        <w:pageBreakBefore w:val="0"/>
        <w:spacing w:line="360" w:lineRule="auto"/>
        <w:rPr>
          <w:rFonts w:hint="eastAsia" w:ascii="宋体" w:hAnsi="宋体" w:eastAsia="宋体" w:cs="宋体"/>
          <w:b/>
          <w:bCs/>
          <w:color w:val="auto"/>
          <w:sz w:val="52"/>
          <w:szCs w:val="52"/>
        </w:rPr>
      </w:pPr>
      <w:r>
        <w:rPr>
          <w:rFonts w:hint="eastAsia" w:ascii="宋体" w:hAnsi="宋体" w:cs="宋体"/>
          <w:b/>
          <w:bCs/>
          <w:color w:val="auto"/>
          <w:sz w:val="52"/>
          <w:szCs w:val="52"/>
        </w:rPr>
        <w:t xml:space="preserve">政府采购项目招标文件</w:t>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both"/>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keepLines w:val="0"/>
        <w:keepNext w:val="0"/>
        <w:pageBreakBefore w:val="0"/>
        <w:spacing w:line="360" w:lineRule="auto"/>
        <w:rPr>
          <w:rFonts w:hint="default" w:ascii="宋体" w:hAnsi="宋体" w:eastAsia="宋体" w:cs="宋体"/>
          <w:b/>
          <w:bCs/>
          <w:color w:val="auto"/>
          <w:sz w:val="32"/>
          <w:szCs w:val="32"/>
          <w:lang w:val="en-US"/>
        </w:rPr>
      </w:pPr>
      <w:r>
        <w:rPr>
          <w:rFonts w:hint="eastAsia" w:ascii="宋体" w:hAnsi="宋体" w:eastAsia="宋体" w:cs="宋体"/>
          <w:b/>
          <w:bCs/>
          <w:color w:val="auto"/>
          <w:sz w:val="32"/>
          <w:szCs w:val="32"/>
        </w:rPr>
        <w:t xml:space="preserve">项目名称：</w:t>
      </w:r>
      <w:r>
        <w:rPr>
          <w:rFonts w:hint="eastAsia" w:ascii="宋体" w:hAnsi="宋体" w:cs="宋体"/>
          <w:b/>
          <w:bCs/>
          <w:color w:val="auto"/>
          <w:sz w:val="32"/>
          <w:szCs w:val="32"/>
          <w:lang w:eastAsia="zh-CN"/>
        </w:rPr>
        <w:t xml:space="preserve">2025年增补城区交安设施采购</w:t>
      </w:r>
      <w:r/>
    </w:p>
    <w:p>
      <w:pPr>
        <w:ind w:firstLine="1928"/>
        <w:jc w:val="both"/>
        <w:keepLines w:val="0"/>
        <w:keepNext w:val="0"/>
        <w:pageBreakBefore w:val="0"/>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项目编号：</w:t>
      </w:r>
      <w:r>
        <w:rPr>
          <w:rFonts w:hint="eastAsia" w:ascii="宋体" w:hAnsi="宋体" w:cs="宋体"/>
          <w:b/>
          <w:bCs/>
          <w:color w:val="auto"/>
          <w:sz w:val="32"/>
          <w:szCs w:val="32"/>
          <w:lang w:eastAsia="zh-CN"/>
        </w:rPr>
        <w:t xml:space="preserve">JSZC-320831-JHYC-G2025-0029</w:t>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1928"/>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keepLines w:val="0"/>
        <w:keepNext w:val="0"/>
        <w:pageBreakBefore w:val="0"/>
        <w:spacing w:line="360" w:lineRule="auto"/>
        <w:rPr>
          <w:rFonts w:hint="eastAsia" w:ascii="宋体" w:hAnsi="宋体" w:eastAsia="宋体" w:cs="宋体"/>
          <w:b/>
          <w:bCs/>
          <w:color w:val="auto"/>
          <w:sz w:val="32"/>
          <w:szCs w:val="32"/>
          <w:lang w:eastAsia="zh-CN"/>
        </w:rPr>
      </w:pPr>
      <w:r>
        <w:rPr>
          <w:rFonts w:hint="eastAsia" w:ascii="宋体" w:hAnsi="宋体" w:cs="宋体"/>
          <w:b/>
          <w:bCs/>
          <w:color w:val="auto"/>
          <w:sz w:val="32"/>
          <w:szCs w:val="32"/>
          <w:lang w:eastAsia="zh-CN"/>
        </w:rPr>
        <w:t xml:space="preserve">招标人</w:t>
      </w:r>
      <w:r>
        <w:rPr>
          <w:rFonts w:hint="eastAsia" w:ascii="宋体" w:hAnsi="宋体" w:eastAsia="宋体" w:cs="宋体"/>
          <w:b/>
          <w:bCs/>
          <w:color w:val="auto"/>
          <w:sz w:val="32"/>
          <w:szCs w:val="32"/>
        </w:rPr>
        <w:t xml:space="preserve">：</w:t>
      </w:r>
      <w:r>
        <w:rPr>
          <w:rFonts w:hint="eastAsia" w:ascii="宋体" w:hAnsi="宋体" w:cs="宋体"/>
          <w:b/>
          <w:bCs/>
          <w:color w:val="auto"/>
          <w:sz w:val="32"/>
          <w:szCs w:val="32"/>
          <w:lang w:eastAsia="zh-CN"/>
        </w:rPr>
        <w:t xml:space="preserve">金湖县住房和城乡建设局</w:t>
      </w:r>
      <w:r/>
    </w:p>
    <w:p>
      <w:pPr>
        <w:jc w:val="center"/>
        <w:keepLines w:val="0"/>
        <w:keepNext w:val="0"/>
        <w:pageBreakBefore w:val="0"/>
        <w:spacing w:line="360" w:lineRule="auto"/>
        <w:rPr>
          <w:rFonts w:hint="eastAsia" w:ascii="宋体" w:hAnsi="宋体" w:eastAsia="宋体" w:cs="宋体"/>
          <w:b/>
          <w:bCs/>
          <w:color w:val="auto"/>
          <w:sz w:val="32"/>
          <w:szCs w:val="32"/>
          <w:lang w:eastAsia="zh-CN"/>
        </w:rPr>
      </w:pPr>
      <w:r>
        <w:rPr>
          <w:rFonts w:hint="eastAsia" w:ascii="宋体" w:hAnsi="宋体" w:cs="宋体"/>
          <w:b/>
          <w:bCs/>
          <w:color w:val="auto"/>
          <w:sz w:val="32"/>
          <w:szCs w:val="32"/>
          <w:lang w:val="en-US" w:eastAsia="zh-CN"/>
        </w:rPr>
        <w:t xml:space="preserve">招标</w:t>
      </w:r>
      <w:r>
        <w:rPr>
          <w:rFonts w:hint="eastAsia" w:ascii="宋体" w:hAnsi="宋体" w:eastAsia="宋体" w:cs="宋体"/>
          <w:b/>
          <w:bCs/>
          <w:color w:val="auto"/>
          <w:sz w:val="32"/>
          <w:szCs w:val="32"/>
        </w:rPr>
        <w:t xml:space="preserve">代理机构：</w:t>
      </w:r>
      <w:r>
        <w:rPr>
          <w:rFonts w:hint="eastAsia" w:ascii="宋体" w:hAnsi="宋体" w:cs="宋体"/>
          <w:b/>
          <w:bCs/>
          <w:color w:val="auto"/>
          <w:sz w:val="32"/>
          <w:szCs w:val="32"/>
          <w:lang w:eastAsia="zh-CN"/>
        </w:rPr>
        <w:t xml:space="preserve">金湖易采项目管理有限公司</w:t>
      </w:r>
      <w:r/>
    </w:p>
    <w:p>
      <w:pPr>
        <w:jc w:val="cente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日期：</w:t>
      </w:r>
      <w:r>
        <w:rPr>
          <w:rFonts w:hint="eastAsia" w:ascii="宋体" w:hAnsi="宋体" w:cs="宋体"/>
          <w:b/>
          <w:bCs/>
          <w:color w:val="auto"/>
          <w:sz w:val="32"/>
          <w:szCs w:val="32"/>
          <w:lang w:eastAsia="zh-CN"/>
        </w:rPr>
        <w:t xml:space="preserve">二〇二五年</w:t>
      </w:r>
      <w:r>
        <w:rPr>
          <w:rFonts w:hint="eastAsia" w:ascii="宋体" w:hAnsi="宋体" w:cs="宋体"/>
          <w:b/>
          <w:bCs/>
          <w:color w:val="auto"/>
          <w:sz w:val="32"/>
          <w:szCs w:val="32"/>
          <w:lang w:val="en-US" w:eastAsia="zh-CN"/>
        </w:rPr>
        <w:t xml:space="preserve">十二</w:t>
      </w:r>
      <w:r>
        <w:rPr>
          <w:rFonts w:hint="eastAsia" w:ascii="宋体" w:hAnsi="宋体" w:cs="宋体"/>
          <w:b/>
          <w:bCs/>
          <w:color w:val="auto"/>
          <w:sz w:val="32"/>
          <w:szCs w:val="32"/>
          <w:lang w:eastAsia="zh-CN"/>
        </w:rPr>
        <w:t xml:space="preserve">月</w:t>
      </w:r>
      <w:r/>
    </w:p>
    <w:p>
      <w:pPr>
        <w:keepLines w:val="0"/>
        <w:keepNext w:val="0"/>
        <w:pageBreakBefore w:val="0"/>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br w:type="page" w:clear="all"/>
      </w:r>
      <w:r/>
    </w:p>
    <w:p>
      <w:pPr>
        <w:ind w:left="0" w:right="0" w:firstLine="0"/>
        <w:jc w:val="center"/>
        <w:keepLines w:val="0"/>
        <w:keepNext w:val="0"/>
        <w:pageBreakBefore w:val="0"/>
        <w:spacing w:before="0" w:after="0" w:line="360" w:lineRule="auto"/>
        <w:rPr>
          <w:rFonts w:hint="eastAsia" w:ascii="宋体" w:hAnsi="宋体" w:eastAsia="宋体" w:cs="宋体"/>
          <w:color w:val="auto"/>
          <w:sz w:val="36"/>
          <w:szCs w:val="36"/>
        </w:rPr>
      </w:pPr>
      <w:r>
        <w:rPr>
          <w:rFonts w:hint="eastAsia" w:ascii="宋体" w:hAnsi="宋体" w:eastAsia="宋体" w:cs="宋体"/>
          <w:b/>
          <w:bCs/>
          <w:color w:val="auto"/>
          <w:sz w:val="36"/>
          <w:szCs w:val="36"/>
        </w:rPr>
        <w:t xml:space="preserve">目</w:t>
      </w:r>
      <w:r>
        <w:rPr>
          <w:rFonts w:hint="eastAsia" w:ascii="宋体" w:hAnsi="宋体" w:cs="宋体"/>
          <w:b/>
          <w:bCs/>
          <w:color w:val="auto"/>
          <w:sz w:val="36"/>
          <w:szCs w:val="36"/>
          <w:lang w:val="en-US" w:eastAsia="zh-CN"/>
        </w:rPr>
        <w:t xml:space="preserve"> </w:t>
      </w:r>
      <w:r>
        <w:rPr>
          <w:rFonts w:hint="eastAsia" w:ascii="宋体" w:hAnsi="宋体" w:eastAsia="宋体" w:cs="宋体"/>
          <w:b/>
          <w:bCs/>
          <w:color w:val="auto"/>
          <w:sz w:val="36"/>
          <w:szCs w:val="36"/>
        </w:rPr>
        <w:t xml:space="preserve">录</w:t>
      </w:r>
      <w:r/>
    </w:p>
    <w:p>
      <w:pPr>
        <w:pStyle w:val="1074"/>
        <w:keepLines w:val="0"/>
        <w:keepNext w:val="0"/>
        <w:pageBreakBefore w:val="0"/>
        <w:spacing w:line="360" w:lineRule="auto"/>
        <w:tabs>
          <w:tab w:val="right" w:pos="9540" w:leader="dot"/>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74"/>
        <w:keepLines w:val="0"/>
        <w:keepNext w:val="0"/>
        <w:pageBreakBefore w:val="0"/>
        <w:spacing w:line="360" w:lineRule="auto"/>
        <w:tabs>
          <w:tab w:val="right" w:pos="9540"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_Toc24195_WPSOffice_Level1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第一章 </w:t>
      </w:r>
      <w:r>
        <w:rPr>
          <w:rFonts w:hint="eastAsia" w:ascii="宋体" w:hAnsi="宋体" w:eastAsia="宋体" w:cs="宋体"/>
          <w:color w:val="auto"/>
          <w:sz w:val="28"/>
          <w:szCs w:val="28"/>
          <w:lang w:val="en-US" w:eastAsia="zh-CN"/>
        </w:rPr>
        <w:t xml:space="preserve"> </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rPr>
        <w:t xml:space="preserve">邀请</w:t>
      </w:r>
      <w:r>
        <w:rPr>
          <w:rFonts w:hint="eastAsia" w:ascii="宋体" w:hAnsi="宋体" w:eastAsia="宋体" w:cs="宋体"/>
          <w:color w:val="auto"/>
          <w:sz w:val="28"/>
          <w:szCs w:val="28"/>
        </w:rPr>
        <w:tab/>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fldChar w:fldCharType="end"/>
      </w:r>
      <w:r/>
    </w:p>
    <w:p>
      <w:pPr>
        <w:pStyle w:val="1074"/>
        <w:keepLines w:val="0"/>
        <w:keepNext w:val="0"/>
        <w:pageBreakBefore w:val="0"/>
        <w:spacing w:line="360" w:lineRule="auto"/>
        <w:tabs>
          <w:tab w:val="right" w:pos="9540"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_Toc12470_WPSOffice_Level1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第二章  </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rPr>
        <w:t xml:space="preserve">须知</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rPr>
        <w:fldChar w:fldCharType="end"/>
      </w:r>
      <w:r/>
    </w:p>
    <w:p>
      <w:pPr>
        <w:pStyle w:val="1074"/>
        <w:keepLines w:val="0"/>
        <w:keepNext w:val="0"/>
        <w:pageBreakBefore w:val="0"/>
        <w:spacing w:line="360" w:lineRule="auto"/>
        <w:tabs>
          <w:tab w:val="right" w:pos="9540" w:leader="dot"/>
        </w:tabs>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_Toc8139_WPSOffice_Level1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第三章  </w:t>
      </w:r>
      <w:r>
        <w:rPr>
          <w:rFonts w:hint="eastAsia" w:ascii="宋体" w:hAnsi="宋体" w:cs="宋体"/>
          <w:color w:val="auto"/>
          <w:sz w:val="28"/>
          <w:szCs w:val="28"/>
          <w:lang w:val="en-US" w:eastAsia="zh-CN"/>
        </w:rPr>
        <w:t xml:space="preserve">评标</w:t>
      </w:r>
      <w:r>
        <w:rPr>
          <w:rFonts w:hint="eastAsia" w:ascii="宋体" w:hAnsi="宋体" w:eastAsia="宋体" w:cs="宋体"/>
          <w:color w:val="auto"/>
          <w:sz w:val="28"/>
          <w:szCs w:val="28"/>
        </w:rPr>
        <w:t xml:space="preserve">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 xml:space="preserve">20</w:t>
      </w:r>
      <w:r/>
    </w:p>
    <w:p>
      <w:pPr>
        <w:pStyle w:val="1074"/>
        <w:keepLines w:val="0"/>
        <w:keepNext w:val="0"/>
        <w:pageBreakBefore w:val="0"/>
        <w:spacing w:line="360" w:lineRule="auto"/>
        <w:tabs>
          <w:tab w:val="right" w:pos="9540"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_Toc11567_WPSOffice_Level1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第四章  合同格式及条款</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 xml:space="preserve">6</w:t>
      </w:r>
      <w:r/>
    </w:p>
    <w:p>
      <w:pPr>
        <w:pStyle w:val="1074"/>
        <w:keepLines w:val="0"/>
        <w:keepNext w:val="0"/>
        <w:pageBreakBefore w:val="0"/>
        <w:spacing w:line="360" w:lineRule="auto"/>
        <w:tabs>
          <w:tab w:val="right" w:pos="9540"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_Toc4620_WPSOffice_Level1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第五章  项目采购需求</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 xml:space="preserve">6</w:t>
      </w:r>
      <w:r/>
    </w:p>
    <w:p>
      <w:pPr>
        <w:pStyle w:val="1074"/>
        <w:keepLines w:val="0"/>
        <w:keepNext w:val="0"/>
        <w:pageBreakBefore w:val="0"/>
        <w:spacing w:line="360" w:lineRule="auto"/>
        <w:tabs>
          <w:tab w:val="right" w:pos="9540" w:leader="dot"/>
        </w:tabs>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_Toc4620_WPSOffice_Level1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w:t>
      </w:r>
      <w:r>
        <w:rPr>
          <w:rFonts w:hint="eastAsia" w:ascii="宋体" w:hAnsi="宋体" w:eastAsia="宋体" w:cs="宋体"/>
          <w:color w:val="auto"/>
          <w:sz w:val="28"/>
          <w:szCs w:val="28"/>
          <w:lang w:val="en-US" w:eastAsia="zh-CN"/>
        </w:rPr>
        <w:t xml:space="preserve">六</w:t>
      </w:r>
      <w:r>
        <w:rPr>
          <w:rFonts w:hint="eastAsia" w:ascii="宋体" w:hAnsi="宋体" w:eastAsia="宋体" w:cs="宋体"/>
          <w:color w:val="auto"/>
          <w:sz w:val="28"/>
          <w:szCs w:val="28"/>
        </w:rPr>
        <w:t xml:space="preserve">章  </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lang w:val="en-US" w:eastAsia="zh-CN"/>
        </w:rPr>
        <w:t xml:space="preserve">文件格式</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 xml:space="preserve">33</w:t>
      </w:r>
      <w:r/>
    </w:p>
    <w:p>
      <w:pPr>
        <w:pStyle w:val="1074"/>
        <w:tabs>
          <w:tab w:val="right" w:pos="9540"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bookmarkEnd w:id="0"/>
      <w:r/>
      <w:r/>
    </w:p>
    <w:p>
      <w:pPr>
        <w:ind w:firstLine="560"/>
        <w:spacing w:line="112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6"/>
          <w:szCs w:val="36"/>
          <w:lang w:eastAsia="zh-CN"/>
        </w:rPr>
      </w:pPr>
      <w:r>
        <w:rPr>
          <w:rFonts w:hint="eastAsia" w:ascii="宋体" w:hAnsi="宋体" w:eastAsia="宋体" w:cs="宋体"/>
          <w:b/>
          <w:color w:val="auto"/>
          <w:sz w:val="36"/>
          <w:szCs w:val="36"/>
        </w:rPr>
        <w:br w:type="page" w:clear="all"/>
      </w:r>
      <w:bookmarkStart w:id="1" w:name="_Toc24195_WPSOffice_Level1"/>
      <w:r>
        <w:rPr>
          <w:rFonts w:hint="eastAsia" w:ascii="宋体" w:hAnsi="宋体" w:cs="宋体"/>
          <w:b/>
          <w:color w:val="auto"/>
          <w:sz w:val="36"/>
          <w:szCs w:val="36"/>
          <w:lang w:val="en-US" w:eastAsia="zh-CN"/>
        </w:rPr>
        <w:t xml:space="preserve">第一章  </w:t>
      </w:r>
      <w:bookmarkEnd w:id="1"/>
      <w:r>
        <w:rPr>
          <w:rFonts w:hint="eastAsia" w:ascii="宋体" w:hAnsi="宋体" w:cs="宋体"/>
          <w:b/>
          <w:color w:val="auto"/>
          <w:sz w:val="36"/>
          <w:szCs w:val="36"/>
          <w:lang w:eastAsia="zh-CN"/>
        </w:rPr>
        <w:t xml:space="preserve">投标邀请</w:t>
      </w:r>
      <w:r/>
    </w:p>
    <w:p>
      <w:pPr>
        <w:ind w:firstLine="484"/>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受</w:t>
      </w:r>
      <w:r>
        <w:rPr>
          <w:rFonts w:hint="eastAsia" w:ascii="宋体" w:hAnsi="宋体" w:cs="宋体"/>
          <w:b w:val="0"/>
          <w:bCs w:val="0"/>
          <w:color w:val="auto"/>
          <w:spacing w:val="-10"/>
          <w:sz w:val="24"/>
          <w:szCs w:val="24"/>
          <w:u w:val="single"/>
          <w:lang w:eastAsia="zh-CN"/>
        </w:rPr>
        <w:t xml:space="preserve">金湖县住房和城乡建设局</w:t>
      </w:r>
      <w:r>
        <w:rPr>
          <w:rFonts w:hint="eastAsia" w:ascii="宋体" w:hAnsi="宋体" w:eastAsia="宋体" w:cs="宋体"/>
          <w:color w:val="auto"/>
          <w:sz w:val="24"/>
          <w:szCs w:val="24"/>
          <w:shd w:val="clear" w:color="auto" w:fill="ffffff"/>
          <w:lang w:val="en-US" w:eastAsia="zh-CN" w:bidi="ar"/>
        </w:rPr>
        <w:t xml:space="preserve">的委托，</w:t>
      </w:r>
      <w:r>
        <w:rPr>
          <w:rFonts w:hint="eastAsia" w:ascii="宋体" w:hAnsi="宋体" w:cs="宋体"/>
          <w:color w:val="auto"/>
          <w:sz w:val="24"/>
          <w:szCs w:val="24"/>
          <w:u w:val="single"/>
          <w:shd w:val="clear" w:color="auto" w:fill="ffffff"/>
          <w:lang w:val="en-US" w:eastAsia="zh-CN" w:bidi="ar"/>
        </w:rPr>
        <w:t xml:space="preserve">金湖易采项目管理有限公司</w:t>
      </w:r>
      <w:r>
        <w:rPr>
          <w:rFonts w:hint="eastAsia" w:ascii="宋体" w:hAnsi="宋体" w:eastAsia="宋体" w:cs="宋体"/>
          <w:color w:val="auto"/>
          <w:sz w:val="24"/>
          <w:szCs w:val="24"/>
          <w:shd w:val="clear" w:color="auto" w:fill="ffffff"/>
          <w:lang w:val="en-US" w:eastAsia="zh-CN" w:bidi="ar"/>
        </w:rPr>
        <w:t xml:space="preserve">就</w:t>
      </w:r>
      <w:r>
        <w:rPr>
          <w:rFonts w:hint="eastAsia" w:ascii="宋体" w:hAnsi="宋体" w:cs="宋体"/>
          <w:color w:val="auto"/>
          <w:sz w:val="24"/>
          <w:u w:val="single"/>
          <w:lang w:val="en-US" w:eastAsia="zh-CN"/>
        </w:rPr>
        <w:t xml:space="preserve">2025年增补城区交安设施采购</w:t>
      </w:r>
      <w:r>
        <w:rPr>
          <w:rFonts w:hint="eastAsia" w:ascii="宋体" w:hAnsi="宋体" w:eastAsia="宋体" w:cs="宋体"/>
          <w:color w:val="auto"/>
          <w:sz w:val="24"/>
          <w:szCs w:val="24"/>
          <w:shd w:val="clear" w:color="auto" w:fill="ffffff"/>
          <w:lang w:val="en-US" w:eastAsia="zh-CN" w:bidi="ar"/>
        </w:rPr>
        <w:t xml:space="preserve">进行</w:t>
      </w:r>
      <w:r>
        <w:rPr>
          <w:rFonts w:hint="eastAsia" w:ascii="宋体" w:hAnsi="宋体" w:cs="宋体"/>
          <w:color w:val="auto"/>
          <w:sz w:val="24"/>
          <w:szCs w:val="24"/>
          <w:shd w:val="clear" w:color="auto" w:fill="ffffff"/>
          <w:lang w:val="en-US" w:eastAsia="zh-CN" w:bidi="ar"/>
        </w:rPr>
        <w:t xml:space="preserve">“</w:t>
      </w:r>
      <w:r>
        <w:rPr>
          <w:rFonts w:hint="eastAsia" w:ascii="宋体" w:hAnsi="宋体" w:eastAsia="宋体" w:cs="宋体"/>
          <w:color w:val="auto"/>
          <w:sz w:val="24"/>
          <w:szCs w:val="24"/>
          <w:shd w:val="clear" w:color="auto" w:fill="ffffff"/>
          <w:lang w:val="en-US" w:eastAsia="zh-CN" w:bidi="ar"/>
        </w:rPr>
        <w:t xml:space="preserve">全流程不见面交易</w:t>
      </w:r>
      <w:r>
        <w:rPr>
          <w:rFonts w:hint="eastAsia" w:ascii="宋体" w:hAnsi="宋体" w:cs="宋体"/>
          <w:color w:val="auto"/>
          <w:sz w:val="24"/>
          <w:szCs w:val="24"/>
          <w:shd w:val="clear" w:color="auto" w:fill="ffffff"/>
          <w:lang w:val="en-US" w:eastAsia="zh-CN" w:bidi="ar"/>
        </w:rPr>
        <w:t xml:space="preserve">”</w:t>
      </w:r>
      <w:r>
        <w:rPr>
          <w:rFonts w:hint="eastAsia" w:ascii="宋体" w:hAnsi="宋体" w:eastAsia="宋体" w:cs="宋体"/>
          <w:color w:val="auto"/>
          <w:sz w:val="24"/>
          <w:szCs w:val="24"/>
          <w:shd w:val="clear" w:color="auto" w:fill="ffffff"/>
          <w:lang w:val="en-US" w:eastAsia="zh-CN" w:bidi="ar"/>
        </w:rPr>
        <w:t xml:space="preserve">采购，现邀请符合条件的投标人参加投标。</w:t>
      </w:r>
      <w:r/>
    </w:p>
    <w:tbl>
      <w:tblPr>
        <w:tblStyle w:val="813"/>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9"/>
      </w:tblGrid>
      <w:tr>
        <w:trPr>
          <w:trHeight w:val="2047"/>
        </w:trPr>
        <w:tc>
          <w:tcPr>
            <w:tcW w:w="9529" w:type="dxa"/>
            <w:vAlign w:val="center"/>
            <w:textDirection w:val="lrTb"/>
            <w:noWrap w:val="false"/>
          </w:tcPr>
          <w:p>
            <w:pPr>
              <w:pStyle w:val="1069"/>
              <w:jc w:val="both"/>
              <w:keepLines w:val="0"/>
              <w:keepNext w:val="0"/>
              <w:pageBreakBefore w:val="0"/>
              <w:spacing w:line="360" w:lineRule="auto"/>
              <w:widowControl/>
              <w:rPr>
                <w:rFonts w:hint="eastAsia" w:ascii="宋体" w:hAnsi="宋体" w:eastAsia="宋体" w:cs="宋体"/>
                <w:color w:val="auto"/>
                <w:szCs w:val="24"/>
                <w:lang w:val="en-US"/>
              </w:rPr>
            </w:pPr>
            <w:r>
              <w:rPr>
                <w:rFonts w:hint="eastAsia" w:ascii="宋体" w:hAnsi="宋体" w:eastAsia="宋体" w:cs="宋体"/>
                <w:color w:val="auto"/>
                <w:szCs w:val="24"/>
                <w:lang w:val="en-US"/>
              </w:rPr>
              <w:t xml:space="preserve">项目概况：</w:t>
            </w:r>
            <w:r/>
          </w:p>
          <w:p>
            <w:pPr>
              <w:pStyle w:val="1069"/>
              <w:ind w:firstLine="440"/>
              <w:jc w:val="both"/>
              <w:keepLines w:val="0"/>
              <w:keepNext w:val="0"/>
              <w:pageBreakBefore w:val="0"/>
              <w:spacing w:line="360" w:lineRule="auto"/>
              <w:widowControl/>
              <w:rPr>
                <w:rFonts w:hint="eastAsia" w:ascii="宋体" w:hAnsi="宋体" w:eastAsia="宋体" w:cs="宋体"/>
                <w:color w:val="auto"/>
                <w:szCs w:val="24"/>
                <w:lang w:val="en-US"/>
              </w:rPr>
            </w:pPr>
            <w:r>
              <w:rPr>
                <w:rFonts w:hint="eastAsia" w:ascii="宋体" w:hAnsi="宋体" w:eastAsia="宋体" w:cs="宋体"/>
                <w:color w:val="auto"/>
                <w:szCs w:val="24"/>
                <w:u w:val="single"/>
                <w:lang w:val="en-US" w:eastAsia="zh-CN"/>
              </w:rPr>
              <w:t xml:space="preserve">2025年增补城区交安设施采购（</w:t>
            </w:r>
            <w:r>
              <w:rPr>
                <w:rFonts w:hint="eastAsia" w:ascii="宋体" w:hAnsi="宋体" w:eastAsia="宋体" w:cs="宋体"/>
                <w:color w:val="auto"/>
                <w:szCs w:val="24"/>
                <w:u w:val="single"/>
                <w:lang w:val="en-US"/>
              </w:rPr>
              <w:t xml:space="preserve">项目编号：</w:t>
            </w:r>
            <w:r>
              <w:rPr>
                <w:rFonts w:hint="eastAsia" w:ascii="宋体" w:hAnsi="宋体" w:eastAsia="宋体" w:cs="宋体"/>
                <w:color w:val="auto"/>
                <w:szCs w:val="24"/>
                <w:u w:val="single"/>
                <w:lang w:val="en-US" w:eastAsia="zh-CN"/>
              </w:rPr>
              <w:t xml:space="preserve">JSZC-320831-JHYC-G2025-0029）</w:t>
            </w:r>
            <w:r>
              <w:rPr>
                <w:rFonts w:hint="eastAsia" w:ascii="宋体" w:hAnsi="宋体" w:eastAsia="宋体" w:cs="宋体"/>
                <w:color w:val="auto"/>
                <w:szCs w:val="24"/>
                <w:lang w:val="en-US"/>
              </w:rPr>
              <w:t xml:space="preserve">招标项目的潜在投标人应在江苏政府采购网或者淮安市政府采购网获取采购文件，并于</w:t>
            </w:r>
            <w:r>
              <w:rPr>
                <w:rFonts w:hint="eastAsia" w:ascii="宋体" w:hAnsi="宋体" w:eastAsia="宋体" w:cs="宋体"/>
                <w:color w:val="auto"/>
                <w:szCs w:val="24"/>
                <w:u w:val="single"/>
                <w:lang w:val="en-US" w:eastAsia="zh-CN"/>
              </w:rPr>
              <w:t xml:space="preserve">2026-1-</w:t>
            </w:r>
            <w:r>
              <w:rPr>
                <w:rFonts w:hint="eastAsia" w:ascii="宋体" w:hAnsi="宋体" w:eastAsia="宋体" w:cs="宋体"/>
                <w:color w:val="auto"/>
                <w:szCs w:val="24"/>
                <w:highlight w:val="none"/>
                <w:u w:val="single"/>
                <w:lang w:val="en-US" w:eastAsia="zh-CN"/>
              </w:rPr>
              <w:t xml:space="preserve">4</w:t>
            </w:r>
            <w:r>
              <w:rPr>
                <w:rFonts w:hint="eastAsia" w:ascii="宋体" w:hAnsi="宋体" w:eastAsia="宋体" w:cs="宋体"/>
                <w:color w:val="auto"/>
                <w:szCs w:val="24"/>
                <w:u w:val="single"/>
                <w:lang w:val="en-US" w:eastAsia="zh-CN"/>
              </w:rPr>
              <w:t xml:space="preserve"> 9:00</w:t>
            </w:r>
            <w:r>
              <w:rPr>
                <w:rFonts w:hint="eastAsia" w:ascii="宋体" w:hAnsi="宋体" w:eastAsia="宋体" w:cs="宋体"/>
                <w:color w:val="auto"/>
                <w:szCs w:val="24"/>
                <w:u w:val="single"/>
                <w:lang w:val="en-US"/>
              </w:rPr>
              <w:t xml:space="preserve">（北京时间）</w:t>
            </w:r>
            <w:r>
              <w:rPr>
                <w:rFonts w:hint="eastAsia" w:ascii="宋体" w:hAnsi="宋体" w:eastAsia="宋体" w:cs="宋体"/>
                <w:color w:val="auto"/>
                <w:szCs w:val="24"/>
                <w:lang w:val="en-US"/>
              </w:rPr>
              <w:t xml:space="preserve">前递交</w:t>
            </w:r>
            <w:r>
              <w:rPr>
                <w:rFonts w:hint="eastAsia" w:ascii="宋体" w:hAnsi="宋体" w:eastAsia="宋体" w:cs="宋体"/>
                <w:color w:val="auto"/>
                <w:szCs w:val="24"/>
                <w:lang w:val="en-US" w:eastAsia="zh-CN"/>
              </w:rPr>
              <w:t xml:space="preserve">投标文件</w:t>
            </w:r>
            <w:r>
              <w:rPr>
                <w:rFonts w:hint="eastAsia" w:ascii="宋体" w:hAnsi="宋体" w:eastAsia="宋体" w:cs="宋体"/>
                <w:color w:val="auto"/>
                <w:szCs w:val="24"/>
                <w:lang w:val="en-US"/>
              </w:rPr>
              <w:t xml:space="preserve">。</w:t>
            </w:r>
            <w:r/>
          </w:p>
        </w:tc>
      </w:tr>
    </w:tbl>
    <w:p>
      <w:pPr>
        <w:numPr>
          <w:ilvl w:val="0"/>
          <w:numId w:val="0"/>
        </w:numPr>
        <w:ind w:left="0"/>
        <w:jc w:val="left"/>
        <w:keepLines w:val="0"/>
        <w:keepNext w:val="0"/>
        <w:pageBreakBefore w:val="0"/>
        <w:spacing w:line="360" w:lineRule="auto"/>
        <w:rPr>
          <w:rFonts w:hint="eastAsia" w:ascii="宋体" w:hAnsi="宋体" w:eastAsia="宋体" w:cs="宋体"/>
          <w:b/>
          <w:bCs/>
          <w:color w:val="auto"/>
          <w:sz w:val="24"/>
        </w:rPr>
      </w:pPr>
      <w:r/>
      <w:bookmarkStart w:id="2" w:name="OLE_LINK2"/>
      <w:r/>
      <w:bookmarkStart w:id="3" w:name="OLE_LINK1"/>
      <w:r/>
      <w:bookmarkStart w:id="4" w:name="OLE_LINK4"/>
      <w:r/>
      <w:bookmarkStart w:id="5" w:name="OLE_LINK7"/>
      <w:r>
        <w:rPr>
          <w:rFonts w:hint="eastAsia" w:ascii="宋体" w:hAnsi="宋体" w:eastAsia="宋体" w:cs="宋体"/>
          <w:b/>
          <w:bCs/>
          <w:color w:val="auto"/>
          <w:sz w:val="24"/>
          <w:szCs w:val="24"/>
          <w:lang w:val="en-US" w:eastAsia="zh-CN" w:bidi="ar-SA"/>
        </w:rPr>
        <w:t xml:space="preserve">一、</w:t>
      </w:r>
      <w:r>
        <w:rPr>
          <w:rFonts w:hint="eastAsia" w:ascii="宋体" w:hAnsi="宋体" w:eastAsia="宋体" w:cs="宋体"/>
          <w:b/>
          <w:bCs/>
          <w:color w:val="auto"/>
          <w:sz w:val="24"/>
        </w:rPr>
        <w:t xml:space="preserve">项目基本情况</w:t>
      </w:r>
      <w:r/>
    </w:p>
    <w:p>
      <w:pPr>
        <w:ind w:left="0" w:firstLine="484"/>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JSZC-320831-JHYC-G2025-0029</w:t>
      </w:r>
      <w:r/>
    </w:p>
    <w:p>
      <w:pPr>
        <w:ind w:left="0" w:firstLine="484"/>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w:t>
      </w:r>
      <w:r>
        <w:rPr>
          <w:rFonts w:hint="eastAsia" w:ascii="宋体" w:hAnsi="宋体" w:eastAsia="宋体" w:cs="宋体"/>
          <w:color w:val="auto"/>
          <w:sz w:val="24"/>
          <w:lang w:val="en-US"/>
        </w:rPr>
        <w:t xml:space="preserve">项目名称：</w:t>
      </w:r>
      <w:r>
        <w:rPr>
          <w:rFonts w:hint="eastAsia" w:ascii="宋体" w:hAnsi="宋体" w:cs="宋体"/>
          <w:color w:val="auto"/>
          <w:sz w:val="24"/>
          <w:lang w:val="en-US" w:eastAsia="zh-CN"/>
        </w:rPr>
        <w:t xml:space="preserve">2025年增补城区交安设施采购</w:t>
      </w:r>
      <w:r/>
    </w:p>
    <w:p>
      <w:pPr>
        <w:ind w:left="0" w:firstLine="484"/>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3.</w:t>
      </w:r>
      <w:r>
        <w:rPr>
          <w:rFonts w:hint="eastAsia" w:ascii="宋体" w:hAnsi="宋体" w:eastAsia="宋体" w:cs="宋体"/>
          <w:color w:val="auto"/>
          <w:sz w:val="24"/>
          <w:lang w:val="en-US"/>
        </w:rPr>
        <w:t xml:space="preserve">采购方式：公开招标</w:t>
      </w:r>
      <w:r/>
    </w:p>
    <w:p>
      <w:pPr>
        <w:ind w:left="0" w:firstLine="484"/>
        <w:keepLines w:val="0"/>
        <w:keepNext w:val="0"/>
        <w:pageBreakBefore w:val="0"/>
        <w:spacing w:line="360" w:lineRule="auto"/>
        <w:rPr>
          <w:rFonts w:hint="eastAsia" w:ascii="宋体" w:hAnsi="宋体" w:eastAsia="宋体" w:cs="宋体"/>
          <w:color w:val="auto"/>
          <w:sz w:val="24"/>
          <w:lang w:val="en-US"/>
        </w:rPr>
      </w:pPr>
      <w:r>
        <w:rPr>
          <w:rFonts w:hint="eastAsia" w:ascii="宋体" w:hAnsi="宋体" w:cs="宋体"/>
          <w:color w:val="auto"/>
          <w:sz w:val="24"/>
          <w:lang w:val="en-US" w:eastAsia="zh-CN"/>
        </w:rPr>
        <w:t xml:space="preserve">4.</w:t>
      </w:r>
      <w:r>
        <w:rPr>
          <w:rFonts w:hint="eastAsia" w:ascii="宋体" w:hAnsi="宋体" w:eastAsia="宋体" w:cs="宋体"/>
          <w:color w:val="auto"/>
          <w:sz w:val="24"/>
          <w:lang w:val="en-US"/>
        </w:rPr>
        <w:t xml:space="preserve">预算金额：</w:t>
      </w:r>
      <w:bookmarkStart w:id="6" w:name="OLE_LINK3"/>
      <w:r>
        <w:rPr>
          <w:rFonts w:hint="eastAsia" w:ascii="宋体" w:hAnsi="宋体" w:cs="宋体"/>
          <w:color w:val="auto"/>
          <w:sz w:val="24"/>
          <w:lang w:val="en-US" w:eastAsia="zh-CN"/>
        </w:rPr>
        <w:t xml:space="preserve">413万元</w:t>
      </w:r>
      <w:r/>
    </w:p>
    <w:p>
      <w:pPr>
        <w:ind w:left="0" w:firstLine="484"/>
        <w:keepLines w:val="0"/>
        <w:keepNext w:val="0"/>
        <w:pageBreakBefore w:val="0"/>
        <w:spacing w:line="360" w:lineRule="auto"/>
        <w:rPr>
          <w:rFonts w:hint="eastAsia" w:ascii="宋体" w:hAnsi="宋体" w:eastAsia="宋体" w:cs="宋体"/>
          <w:color w:val="auto"/>
          <w:sz w:val="24"/>
          <w:lang w:val="en-US"/>
        </w:rPr>
      </w:pPr>
      <w:r>
        <w:rPr>
          <w:rFonts w:hint="eastAsia" w:ascii="宋体" w:hAnsi="宋体" w:cs="宋体"/>
          <w:color w:val="auto"/>
          <w:sz w:val="24"/>
          <w:lang w:val="en-US" w:eastAsia="zh-CN"/>
        </w:rPr>
        <w:t xml:space="preserve">5.</w:t>
      </w:r>
      <w:r>
        <w:rPr>
          <w:rFonts w:hint="eastAsia" w:ascii="宋体" w:hAnsi="宋体" w:eastAsia="宋体" w:cs="宋体"/>
          <w:color w:val="auto"/>
          <w:sz w:val="24"/>
          <w:lang w:val="en-US"/>
        </w:rPr>
        <w:t xml:space="preserve">最高限价：</w:t>
      </w:r>
      <w:r>
        <w:rPr>
          <w:rFonts w:hint="eastAsia" w:ascii="宋体" w:hAnsi="宋体" w:cs="宋体"/>
          <w:color w:val="auto"/>
          <w:sz w:val="24"/>
          <w:highlight w:val="none"/>
          <w:lang w:val="en-US" w:eastAsia="zh-CN"/>
        </w:rPr>
        <w:t xml:space="preserve">400.21</w:t>
      </w:r>
      <w:r>
        <w:rPr>
          <w:rFonts w:hint="eastAsia" w:ascii="宋体" w:hAnsi="宋体" w:eastAsia="宋体" w:cs="宋体"/>
          <w:color w:val="auto"/>
          <w:sz w:val="24"/>
          <w:highlight w:val="none"/>
          <w:lang w:val="en-US" w:eastAsia="zh-CN"/>
        </w:rPr>
        <w:t xml:space="preserve">万元</w:t>
      </w:r>
      <w:r>
        <w:rPr>
          <w:rFonts w:hint="eastAsia" w:ascii="宋体" w:hAnsi="宋体" w:eastAsia="宋体" w:cs="宋体"/>
          <w:color w:val="auto"/>
          <w:sz w:val="24"/>
          <w:lang w:val="en-US" w:eastAsia="zh-CN"/>
        </w:rPr>
        <w:t xml:space="preserve">，投标报价超过最高限价的为无效报价。</w:t>
      </w:r>
      <w:bookmarkEnd w:id="6"/>
      <w:r/>
      <w:r/>
    </w:p>
    <w:p>
      <w:pPr>
        <w:ind w:left="0" w:firstLine="484"/>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6.</w:t>
      </w:r>
      <w:r>
        <w:rPr>
          <w:rFonts w:hint="eastAsia" w:ascii="宋体" w:hAnsi="宋体" w:eastAsia="宋体" w:cs="宋体"/>
          <w:color w:val="auto"/>
          <w:sz w:val="24"/>
          <w:lang w:val="en-US"/>
        </w:rPr>
        <w:t xml:space="preserve">采购需求：新增信号灯、行人过街系统、防撞式护栏、可变倒计时显示屏路口、LED户外宣传电子屏、单点自适应系统路口、行人和非机动车违法实时语音警示AI模型路口等</w:t>
      </w:r>
      <w:r>
        <w:rPr>
          <w:rFonts w:hint="eastAsia" w:ascii="宋体" w:hAnsi="宋体" w:cs="宋体"/>
          <w:color w:val="auto"/>
          <w:sz w:val="24"/>
          <w:lang w:val="en-US" w:eastAsia="zh-CN"/>
        </w:rPr>
        <w:t xml:space="preserve">；</w:t>
      </w:r>
      <w:r>
        <w:rPr>
          <w:rFonts w:hint="eastAsia" w:ascii="宋体" w:hAnsi="宋体" w:eastAsia="宋体" w:cs="宋体"/>
          <w:color w:val="auto"/>
          <w:sz w:val="24"/>
          <w:lang w:val="en-US"/>
        </w:rPr>
        <w:t xml:space="preserve">建设信号灯故障智能检测系统和金湖县文明城市智慧交通管理平台系统等</w:t>
      </w:r>
      <w:r>
        <w:rPr>
          <w:rFonts w:hint="eastAsia" w:ascii="宋体" w:hAnsi="宋体" w:cs="宋体"/>
          <w:color w:val="auto"/>
          <w:sz w:val="24"/>
          <w:lang w:val="en-US" w:eastAsia="zh-CN"/>
        </w:rPr>
        <w:t xml:space="preserve">，具体内容详见招标文件项目采购需求。</w:t>
      </w:r>
      <w:r/>
    </w:p>
    <w:p>
      <w:pPr>
        <w:ind w:left="0" w:firstLine="484"/>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en-US"/>
        </w:rPr>
        <w:t xml:space="preserve">合同履行期限：</w:t>
      </w:r>
      <w:r>
        <w:rPr>
          <w:rFonts w:hint="eastAsia" w:ascii="宋体" w:hAnsi="宋体" w:eastAsia="宋体" w:cs="宋体"/>
          <w:color w:val="auto"/>
          <w:sz w:val="24"/>
          <w:highlight w:val="none"/>
          <w:lang w:val="en-US" w:eastAsia="zh-CN"/>
        </w:rPr>
        <w:t xml:space="preserve">暂定90日历天（具体以招标人通知时间为准）</w:t>
      </w:r>
      <w:r/>
    </w:p>
    <w:p>
      <w:pPr>
        <w:ind w:left="0" w:firstLine="484"/>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8.</w:t>
      </w:r>
      <w:r>
        <w:rPr>
          <w:rFonts w:hint="eastAsia" w:ascii="宋体" w:hAnsi="宋体" w:eastAsia="宋体" w:cs="宋体"/>
          <w:color w:val="auto"/>
          <w:sz w:val="24"/>
          <w:lang w:val="en-US"/>
        </w:rPr>
        <w:t xml:space="preserve">质量：</w:t>
      </w:r>
      <w:r>
        <w:rPr>
          <w:rFonts w:hint="eastAsia" w:ascii="宋体" w:hAnsi="宋体" w:eastAsia="宋体" w:cs="宋体"/>
          <w:sz w:val="24"/>
          <w:szCs w:val="24"/>
          <w:shd w:val="clear" w:color="auto" w:fill="ffffff"/>
          <w:lang w:eastAsia="zh-CN"/>
        </w:rPr>
        <w:t xml:space="preserve">合格（符合国家相关标准规范验收标准要求）</w:t>
      </w:r>
      <w:r/>
    </w:p>
    <w:p>
      <w:pPr>
        <w:ind w:left="0" w:firstLine="484"/>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9.</w:t>
      </w:r>
      <w:r>
        <w:rPr>
          <w:rFonts w:hint="eastAsia" w:ascii="宋体" w:hAnsi="宋体" w:eastAsia="宋体" w:cs="宋体"/>
          <w:color w:val="auto"/>
          <w:sz w:val="24"/>
          <w:lang w:val="en-US" w:eastAsia="zh-CN"/>
        </w:rPr>
        <w:t xml:space="preserve">本项目不接受联合体投标</w:t>
      </w:r>
      <w:r/>
    </w:p>
    <w:p>
      <w:pPr>
        <w:pStyle w:val="1069"/>
        <w:numPr>
          <w:ilvl w:val="0"/>
          <w:numId w:val="0"/>
        </w:numPr>
        <w:ind w:left="0"/>
        <w:keepLines w:val="0"/>
        <w:keepNext w:val="0"/>
        <w:pageBreakBefore w:val="0"/>
        <w:spacing w:line="360" w:lineRule="auto"/>
        <w:widowControl/>
        <w:rPr>
          <w:rFonts w:hint="eastAsia" w:ascii="宋体" w:hAnsi="宋体" w:eastAsia="宋体" w:cs="宋体"/>
          <w:b/>
          <w:bCs/>
          <w:color w:val="auto"/>
          <w:szCs w:val="24"/>
          <w:lang w:val="en-US"/>
        </w:rPr>
      </w:pPr>
      <w:r>
        <w:rPr>
          <w:rFonts w:hint="eastAsia" w:ascii="宋体" w:hAnsi="宋体" w:eastAsia="宋体" w:cs="宋体"/>
          <w:b/>
          <w:bCs/>
          <w:color w:val="auto"/>
          <w:sz w:val="24"/>
          <w:szCs w:val="24"/>
          <w:lang w:val="en-US" w:eastAsia="zh-CN" w:bidi="ar-SA"/>
        </w:rPr>
        <w:t xml:space="preserve">二、</w:t>
      </w:r>
      <w:r>
        <w:rPr>
          <w:rFonts w:hint="eastAsia" w:ascii="宋体" w:hAnsi="宋体" w:eastAsia="宋体" w:cs="宋体"/>
          <w:b/>
          <w:bCs/>
          <w:color w:val="auto"/>
          <w:szCs w:val="24"/>
          <w:lang w:val="en-US"/>
        </w:rPr>
        <w:t xml:space="preserve">投标人的资格要求</w:t>
      </w:r>
      <w:r/>
    </w:p>
    <w:p>
      <w:pPr>
        <w:ind w:left="0" w:firstLine="484"/>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（一）符合《中华人民共和国政府采购法》第二十二条规定的六项条件；</w:t>
      </w:r>
      <w:r/>
    </w:p>
    <w:p>
      <w:pPr>
        <w:ind w:left="0" w:firstLine="484"/>
        <w:keepLines w:val="0"/>
        <w:keepNext w:val="0"/>
        <w:pageBreakBefore w:val="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（二）落实政府采购政策需满足的资格要求</w:t>
      </w:r>
      <w:r>
        <w:rPr>
          <w:rFonts w:hint="eastAsia" w:ascii="宋体" w:hAnsi="宋体" w:cs="宋体"/>
          <w:color w:val="auto"/>
          <w:sz w:val="24"/>
          <w:lang w:eastAsia="zh-CN"/>
        </w:rPr>
        <w:t xml:space="preserve">：</w:t>
      </w:r>
      <w:r/>
    </w:p>
    <w:p>
      <w:pPr>
        <w:ind w:firstLine="480"/>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本项目按照以下</w:t>
      </w:r>
      <w:r>
        <w:rPr>
          <w:rFonts w:hint="eastAsia" w:ascii="宋体" w:hAnsi="宋体" w:cs="宋体"/>
          <w:b w:val="0"/>
          <w:bCs w:val="0"/>
          <w:color w:val="auto"/>
          <w:sz w:val="24"/>
        </w:rPr>
        <w:t xml:space="preserve">第</w:t>
      </w:r>
      <w:r>
        <w:rPr>
          <w:rFonts w:hint="eastAsia" w:ascii="宋体" w:hAnsi="宋体" w:cs="宋体"/>
          <w:b w:val="0"/>
          <w:bCs w:val="0"/>
          <w:color w:val="auto"/>
          <w:sz w:val="24"/>
          <w:highlight w:val="none"/>
          <w:u w:val="single"/>
          <w:lang w:val="en-US" w:eastAsia="zh-CN"/>
        </w:rPr>
        <w:t xml:space="preserve">3</w:t>
      </w:r>
      <w:r>
        <w:rPr>
          <w:rFonts w:hint="eastAsia" w:ascii="宋体" w:hAnsi="宋体" w:cs="宋体"/>
          <w:b w:val="0"/>
          <w:bCs w:val="0"/>
          <w:color w:val="auto"/>
          <w:sz w:val="24"/>
        </w:rPr>
        <w:t xml:space="preserve">种</w:t>
      </w:r>
      <w:r>
        <w:rPr>
          <w:rFonts w:hint="eastAsia" w:ascii="宋体" w:hAnsi="宋体" w:cs="宋体"/>
          <w:color w:val="auto"/>
          <w:sz w:val="24"/>
        </w:rPr>
        <w:t xml:space="preserve">方式落实政府采购促进中小企业发展的要求</w:t>
      </w:r>
      <w:r>
        <w:rPr>
          <w:rFonts w:hint="eastAsia" w:ascii="宋体" w:hAnsi="宋体" w:cs="宋体"/>
          <w:color w:val="auto"/>
          <w:sz w:val="24"/>
          <w:lang w:eastAsia="zh-CN"/>
        </w:rPr>
        <w:t xml:space="preserve">：</w:t>
      </w:r>
      <w:r/>
    </w:p>
    <w:p>
      <w:pPr>
        <w:ind w:firstLine="480"/>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w:t>
      </w:r>
      <w:r>
        <w:rPr>
          <w:rFonts w:hint="eastAsia" w:ascii="宋体" w:hAnsi="宋体" w:cs="宋体"/>
          <w:color w:val="auto"/>
          <w:sz w:val="24"/>
        </w:rPr>
        <w:t xml:space="preserve">本项目为专门面向中小企业采购的项目。</w:t>
      </w:r>
      <w:r/>
    </w:p>
    <w:p>
      <w:pPr>
        <w:ind w:firstLine="480"/>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2</w:t>
      </w:r>
      <w:r>
        <w:rPr>
          <w:rFonts w:hint="eastAsia" w:ascii="宋体" w:hAnsi="宋体" w:cs="宋体"/>
          <w:color w:val="auto"/>
          <w:sz w:val="24"/>
          <w:lang w:val="en-US" w:eastAsia="zh-CN"/>
        </w:rPr>
        <w:t xml:space="preserve">.</w:t>
      </w:r>
      <w:r>
        <w:rPr>
          <w:rFonts w:hint="eastAsia" w:ascii="宋体" w:hAnsi="宋体" w:cs="宋体"/>
          <w:color w:val="auto"/>
          <w:sz w:val="24"/>
        </w:rPr>
        <w:t xml:space="preserve">本项目通过以下第</w:t>
      </w:r>
      <w:r>
        <w:rPr>
          <w:rFonts w:hint="eastAsia" w:ascii="宋体" w:hAnsi="宋体" w:cs="宋体"/>
          <w:color w:val="auto"/>
          <w:sz w:val="24"/>
          <w:lang w:eastAsia="zh-CN"/>
        </w:rPr>
        <w:t xml:space="preserve">（）</w:t>
      </w:r>
      <w:r>
        <w:rPr>
          <w:rFonts w:hint="eastAsia" w:ascii="宋体" w:hAnsi="宋体" w:cs="宋体"/>
          <w:color w:val="auto"/>
          <w:sz w:val="24"/>
        </w:rPr>
        <w:t xml:space="preserve">种方式预留部分采购份额采购中小企业服务</w:t>
      </w:r>
      <w:r>
        <w:rPr>
          <w:rFonts w:hint="eastAsia" w:ascii="宋体" w:hAnsi="宋体" w:cs="宋体"/>
          <w:color w:val="auto"/>
          <w:sz w:val="24"/>
          <w:lang w:eastAsia="zh-CN"/>
        </w:rPr>
        <w:t xml:space="preserve">：</w:t>
      </w:r>
      <w:r/>
    </w:p>
    <w:p>
      <w:pPr>
        <w:ind w:firstLine="480"/>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lang w:eastAsia="zh-CN"/>
        </w:rPr>
        <w:t xml:space="preserve">（</w:t>
      </w: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本项目要求</w:t>
      </w:r>
      <w:r>
        <w:rPr>
          <w:rFonts w:hint="eastAsia" w:ascii="宋体" w:hAnsi="宋体" w:cs="宋体"/>
          <w:color w:val="auto"/>
          <w:sz w:val="24"/>
          <w:lang w:eastAsia="zh-CN"/>
        </w:rPr>
        <w:t xml:space="preserve">供应商</w:t>
      </w:r>
      <w:r>
        <w:rPr>
          <w:rFonts w:hint="eastAsia" w:ascii="宋体" w:hAnsi="宋体" w:cs="宋体"/>
          <w:color w:val="auto"/>
          <w:sz w:val="24"/>
        </w:rPr>
        <w:t xml:space="preserve">以联合体形式参加，中小企业合同金额应当达到的比例为__%，其中小微企业所占比例应为__%</w:t>
      </w:r>
      <w:r>
        <w:rPr>
          <w:rFonts w:hint="eastAsia" w:ascii="宋体" w:hAnsi="宋体" w:cs="宋体"/>
          <w:color w:val="auto"/>
          <w:sz w:val="24"/>
          <w:lang w:eastAsia="zh-CN"/>
        </w:rPr>
        <w:t xml:space="preserve">（</w:t>
      </w:r>
      <w:r>
        <w:rPr>
          <w:rFonts w:hint="eastAsia" w:ascii="宋体" w:hAnsi="宋体" w:cs="宋体"/>
          <w:color w:val="auto"/>
          <w:sz w:val="24"/>
        </w:rPr>
        <w:t xml:space="preserve">两项比例均应符合《政府采购促进中小企业发展管理办法》第八条规定</w:t>
      </w:r>
      <w:r>
        <w:rPr>
          <w:rFonts w:hint="eastAsia" w:ascii="宋体" w:hAnsi="宋体" w:cs="宋体"/>
          <w:color w:val="auto"/>
          <w:sz w:val="24"/>
          <w:lang w:eastAsia="zh-CN"/>
        </w:rPr>
        <w:t xml:space="preserve">）</w:t>
      </w:r>
      <w:r>
        <w:rPr>
          <w:rFonts w:hint="eastAsia" w:ascii="宋体" w:hAnsi="宋体" w:cs="宋体"/>
          <w:color w:val="auto"/>
          <w:sz w:val="24"/>
        </w:rPr>
        <w:t xml:space="preserve">。</w:t>
      </w:r>
      <w:r/>
    </w:p>
    <w:p>
      <w:pPr>
        <w:ind w:firstLine="480"/>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lang w:eastAsia="zh-CN"/>
        </w:rPr>
        <w:t xml:space="preserve">（</w:t>
      </w: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本项目要求</w:t>
      </w:r>
      <w:r>
        <w:rPr>
          <w:rFonts w:hint="eastAsia" w:ascii="宋体" w:hAnsi="宋体" w:cs="宋体"/>
          <w:color w:val="auto"/>
          <w:sz w:val="24"/>
          <w:lang w:eastAsia="zh-CN"/>
        </w:rPr>
        <w:t xml:space="preserve">供应商</w:t>
      </w:r>
      <w:r>
        <w:rPr>
          <w:rFonts w:hint="eastAsia" w:ascii="宋体" w:hAnsi="宋体" w:cs="宋体"/>
          <w:color w:val="auto"/>
          <w:sz w:val="24"/>
        </w:rPr>
        <w:t xml:space="preserve">进行合同分包，中小企业合同金额应当达到的比例为_%，其中小微企业所占比例应为_%</w:t>
      </w:r>
      <w:r>
        <w:rPr>
          <w:rFonts w:hint="eastAsia" w:ascii="宋体" w:hAnsi="宋体" w:cs="宋体"/>
          <w:color w:val="auto"/>
          <w:sz w:val="24"/>
          <w:lang w:eastAsia="zh-CN"/>
        </w:rPr>
        <w:t xml:space="preserve">（</w:t>
      </w:r>
      <w:r>
        <w:rPr>
          <w:rFonts w:hint="eastAsia" w:ascii="宋体" w:hAnsi="宋体" w:cs="宋体"/>
          <w:color w:val="auto"/>
          <w:sz w:val="24"/>
        </w:rPr>
        <w:t xml:space="preserve">两项比例均应符合《政府采购促进中小企业发展管理办法》第八条规定</w:t>
      </w:r>
      <w:r>
        <w:rPr>
          <w:rFonts w:hint="eastAsia" w:ascii="宋体" w:hAnsi="宋体" w:cs="宋体"/>
          <w:color w:val="auto"/>
          <w:sz w:val="24"/>
          <w:lang w:eastAsia="zh-CN"/>
        </w:rPr>
        <w:t xml:space="preserve">）</w:t>
      </w:r>
      <w:r>
        <w:rPr>
          <w:rFonts w:hint="eastAsia" w:ascii="宋体" w:hAnsi="宋体" w:cs="宋体"/>
          <w:color w:val="auto"/>
          <w:sz w:val="24"/>
        </w:rPr>
        <w:t xml:space="preserve">。</w:t>
      </w:r>
      <w:r/>
    </w:p>
    <w:p>
      <w:pPr>
        <w:ind w:firstLine="480"/>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3</w:t>
      </w:r>
      <w:r>
        <w:rPr>
          <w:rFonts w:hint="eastAsia" w:ascii="宋体" w:hAnsi="宋体" w:cs="宋体"/>
          <w:color w:val="auto"/>
          <w:sz w:val="24"/>
          <w:lang w:val="en-US" w:eastAsia="zh-CN"/>
        </w:rPr>
        <w:t xml:space="preserve">.</w:t>
      </w:r>
      <w:r>
        <w:rPr>
          <w:rFonts w:hint="eastAsia" w:ascii="宋体" w:hAnsi="宋体" w:cs="宋体"/>
          <w:color w:val="auto"/>
          <w:sz w:val="24"/>
        </w:rPr>
        <w:t xml:space="preserve">本项目为非预留份额的采购项目，对小微企业报价给予扣除，用扣除后的价格参加评审，具体详见第三章评标标准</w:t>
      </w:r>
      <w:r>
        <w:rPr>
          <w:rFonts w:hint="eastAsia" w:ascii="宋体" w:hAnsi="宋体" w:cs="宋体"/>
          <w:color w:val="auto"/>
          <w:sz w:val="24"/>
          <w:lang w:eastAsia="zh-CN"/>
        </w:rPr>
        <w:t xml:space="preserve">。</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注</w:t>
      </w:r>
      <w:r>
        <w:rPr>
          <w:rFonts w:hint="eastAsia" w:ascii="宋体" w:hAnsi="宋体" w:cs="宋体"/>
          <w:color w:val="auto"/>
          <w:sz w:val="24"/>
          <w:lang w:eastAsia="zh-CN"/>
        </w:rPr>
        <w:t xml:space="preserve">：</w:t>
      </w:r>
      <w:r>
        <w:rPr>
          <w:rFonts w:hint="eastAsia" w:ascii="宋体" w:hAnsi="宋体" w:cs="宋体"/>
          <w:color w:val="auto"/>
          <w:sz w:val="24"/>
        </w:rPr>
        <w:t xml:space="preserve">监狱企业、残疾人福利性单位视同小微企业。</w:t>
      </w:r>
      <w:r/>
    </w:p>
    <w:p>
      <w:pPr>
        <w:pStyle w:val="1015"/>
        <w:ind w:left="0" w:firstLine="480"/>
        <w:keepLines w:val="0"/>
        <w:keepNext w:val="0"/>
        <w:pageBreakBefore w:val="0"/>
        <w:spacing w:line="360" w:lineRule="auto"/>
        <w:rPr>
          <w:rFonts w:hint="eastAsia" w:cs="宋体"/>
          <w:b/>
          <w:bCs/>
          <w:color w:val="auto"/>
          <w:sz w:val="24"/>
          <w:u w:val="single"/>
        </w:rPr>
      </w:pPr>
      <w:r>
        <w:rPr>
          <w:rFonts w:hint="eastAsia" w:cs="宋体"/>
          <w:b/>
          <w:bCs/>
          <w:color w:val="auto"/>
          <w:sz w:val="24"/>
        </w:rPr>
        <w:t xml:space="preserve">本项目采购标的对应的中小企业划分标准所属行业为</w:t>
      </w:r>
      <w:r>
        <w:rPr>
          <w:rFonts w:hint="eastAsia" w:cs="宋体"/>
          <w:b/>
          <w:bCs/>
          <w:color w:val="auto"/>
          <w:sz w:val="24"/>
          <w:u w:val="single"/>
          <w:lang w:eastAsia="zh-CN"/>
        </w:rPr>
        <w:t xml:space="preserve">工业</w:t>
      </w:r>
      <w:r>
        <w:rPr>
          <w:rFonts w:hint="eastAsia" w:cs="宋体"/>
          <w:b/>
          <w:bCs/>
          <w:color w:val="auto"/>
          <w:sz w:val="24"/>
          <w:u w:val="single"/>
        </w:rPr>
        <w:t xml:space="preserve">。</w:t>
      </w:r>
      <w:r/>
    </w:p>
    <w:p>
      <w:pPr>
        <w:ind w:left="0" w:firstLine="484"/>
        <w:keepLines w:val="0"/>
        <w:keepNext w:val="0"/>
        <w:pageBreakBefore w:val="0"/>
        <w:spacing w:line="360" w:lineRule="auto"/>
        <w:rPr>
          <w:rFonts w:hint="eastAsia" w:ascii="宋体" w:hAnsi="宋体" w:eastAsia="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三</w:t>
      </w:r>
      <w:r>
        <w:rPr>
          <w:rFonts w:hint="eastAsia" w:ascii="宋体" w:hAnsi="宋体" w:cs="宋体"/>
          <w:color w:val="auto"/>
          <w:sz w:val="24"/>
        </w:rPr>
        <w:t xml:space="preserve">）</w:t>
      </w:r>
      <w:r>
        <w:rPr>
          <w:rFonts w:hint="eastAsia" w:ascii="宋体" w:hAnsi="宋体" w:eastAsia="宋体" w:cs="宋体"/>
          <w:color w:val="auto"/>
          <w:sz w:val="24"/>
        </w:rPr>
        <w:t xml:space="preserve">拒绝符合下述条件的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参加本次采购活动：</w:t>
      </w:r>
      <w:r/>
    </w:p>
    <w:p>
      <w:pPr>
        <w:ind w:left="0" w:firstLine="484"/>
        <w:keepLines w:val="0"/>
        <w:keepNext w:val="0"/>
        <w:pageBreakBefore w:val="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单位负责人为同一人或者存在直接控股、管理关系的不同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，不得同时参加同一合同项下的政府采购活动；</w:t>
      </w:r>
      <w:r/>
    </w:p>
    <w:p>
      <w:pPr>
        <w:ind w:left="0" w:firstLine="484"/>
        <w:keepLines w:val="0"/>
        <w:keepNext w:val="0"/>
        <w:pageBreakBefore w:val="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凡为采购项目提供整体设计、规范编制或者项目管理、监理、检测等服务的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，不得再参加本项目的采购活动； </w:t>
      </w:r>
      <w:r/>
    </w:p>
    <w:p>
      <w:pPr>
        <w:ind w:left="0" w:firstLine="484"/>
        <w:keepLines w:val="0"/>
        <w:keepNext w:val="0"/>
        <w:pageBreakBefore w:val="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列入失信被执行人、重大税收违法案件当事人名单、政府采购严重违法失信行为记录名单中的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不得参加本项目的采购活动。 </w:t>
      </w:r>
      <w:r/>
    </w:p>
    <w:p>
      <w:pPr>
        <w:ind w:left="0" w:firstLine="484"/>
        <w:keepLines w:val="0"/>
        <w:keepNext w:val="0"/>
        <w:pageBreakBefore w:val="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招标人</w:t>
      </w:r>
      <w:r>
        <w:rPr>
          <w:rFonts w:hint="eastAsia" w:ascii="宋体" w:hAnsi="宋体" w:eastAsia="宋体" w:cs="宋体"/>
          <w:color w:val="auto"/>
          <w:sz w:val="24"/>
        </w:rPr>
        <w:t xml:space="preserve">（代理机构）通过</w:t>
      </w:r>
      <w:r>
        <w:rPr>
          <w:rFonts w:hint="eastAsia" w:ascii="宋体" w:hAnsi="宋体" w:cs="宋体"/>
          <w:color w:val="auto"/>
          <w:sz w:val="24"/>
          <w:szCs w:val="24"/>
          <w:lang w:eastAsia="zh-CN"/>
        </w:rPr>
        <w:t xml:space="preserve">“</w:t>
      </w:r>
      <w:r>
        <w:rPr>
          <w:rFonts w:hint="eastAsia" w:ascii="宋体" w:hAnsi="宋体" w:eastAsia="宋体" w:cs="宋体"/>
          <w:color w:val="auto"/>
          <w:sz w:val="24"/>
        </w:rPr>
        <w:t xml:space="preserve">信用中国</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网站（www.creditchina.gov.cn）、</w:t>
      </w:r>
      <w:r>
        <w:rPr>
          <w:rFonts w:hint="eastAsia" w:ascii="宋体" w:hAnsi="宋体" w:cs="宋体"/>
          <w:color w:val="auto"/>
          <w:sz w:val="24"/>
          <w:szCs w:val="24"/>
          <w:lang w:eastAsia="zh-CN"/>
        </w:rPr>
        <w:t xml:space="preserve">“</w:t>
      </w:r>
      <w:r>
        <w:rPr>
          <w:rFonts w:hint="eastAsia" w:ascii="宋体" w:hAnsi="宋体" w:eastAsia="宋体" w:cs="宋体"/>
          <w:color w:val="auto"/>
          <w:sz w:val="24"/>
        </w:rPr>
        <w:t xml:space="preserve">中国政府采购网</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网站（www.ccgp.gov.cn）等渠道查询供应商在采购公告发布之日前的信用记录并保存，查询结果以网页打印的形式留存并归档。</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四</w:t>
      </w:r>
      <w:r>
        <w:rPr>
          <w:rFonts w:hint="eastAsia" w:ascii="宋体" w:hAnsi="宋体" w:cs="宋体"/>
          <w:color w:val="auto"/>
          <w:sz w:val="24"/>
        </w:rPr>
        <w:t xml:space="preserve">）</w:t>
      </w:r>
      <w:r>
        <w:rPr>
          <w:rFonts w:hint="eastAsia" w:ascii="宋体" w:hAnsi="宋体" w:cs="宋体"/>
          <w:color w:val="auto"/>
          <w:sz w:val="24"/>
          <w:lang w:eastAsia="zh-CN"/>
        </w:rPr>
        <w:t xml:space="preserve">供应商</w:t>
      </w:r>
      <w:r>
        <w:rPr>
          <w:rFonts w:hint="eastAsia" w:ascii="宋体" w:hAnsi="宋体" w:cs="宋体"/>
          <w:color w:val="auto"/>
          <w:sz w:val="24"/>
        </w:rPr>
        <w:t xml:space="preserve">提供下列之一</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供应商</w:t>
      </w:r>
      <w:r>
        <w:rPr>
          <w:rFonts w:hint="eastAsia" w:ascii="宋体" w:hAnsi="宋体" w:cs="宋体"/>
          <w:color w:val="auto"/>
          <w:sz w:val="24"/>
        </w:rPr>
        <w:t xml:space="preserve">法定代表人参加</w:t>
      </w:r>
      <w:r>
        <w:rPr>
          <w:rFonts w:hint="eastAsia" w:ascii="宋体" w:hAnsi="宋体" w:eastAsia="宋体" w:cs="宋体"/>
          <w:color w:val="auto"/>
          <w:sz w:val="24"/>
        </w:rPr>
        <w:t xml:space="preserve">投标</w:t>
      </w:r>
      <w:r>
        <w:rPr>
          <w:rFonts w:hint="eastAsia" w:ascii="宋体" w:hAnsi="宋体" w:cs="宋体"/>
          <w:color w:val="auto"/>
          <w:sz w:val="24"/>
        </w:rPr>
        <w:t xml:space="preserve">的，提供法定代表人资格证明（按照示范格式要求）和法定代表人身份证。</w:t>
      </w:r>
      <w:r/>
    </w:p>
    <w:p>
      <w:pPr>
        <w:ind w:left="0" w:firstLine="484"/>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供应商</w:t>
      </w:r>
      <w:r>
        <w:rPr>
          <w:rFonts w:hint="eastAsia" w:ascii="宋体" w:hAnsi="宋体" w:cs="宋体"/>
          <w:color w:val="auto"/>
          <w:sz w:val="24"/>
        </w:rPr>
        <w:t xml:space="preserve">授权委托人参加</w:t>
      </w:r>
      <w:r>
        <w:rPr>
          <w:rFonts w:hint="eastAsia" w:ascii="宋体" w:hAnsi="宋体" w:eastAsia="宋体" w:cs="宋体"/>
          <w:color w:val="auto"/>
          <w:sz w:val="24"/>
        </w:rPr>
        <w:t xml:space="preserve">投标</w:t>
      </w:r>
      <w:r>
        <w:rPr>
          <w:rFonts w:hint="eastAsia" w:ascii="宋体" w:hAnsi="宋体" w:cs="宋体"/>
          <w:color w:val="auto"/>
          <w:sz w:val="24"/>
        </w:rPr>
        <w:t xml:space="preserve">的，提供授权委托书（按照示范格式要求）和受托人身份证。</w:t>
      </w:r>
      <w:r/>
    </w:p>
    <w:p>
      <w:pPr>
        <w:ind w:left="0" w:firstLine="484"/>
        <w:keepLines w:val="0"/>
        <w:keepNext w:val="0"/>
        <w:pageBreakBefore w:val="0"/>
        <w:spacing w:line="360" w:lineRule="auto"/>
        <w:rPr>
          <w:color w:val="auto"/>
          <w:lang w:val="en-US" w:eastAsia="zh-CN"/>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五</w:t>
      </w:r>
      <w:r>
        <w:rPr>
          <w:rFonts w:hint="eastAsia" w:ascii="宋体" w:hAnsi="宋体" w:cs="宋体"/>
          <w:color w:val="auto"/>
          <w:sz w:val="24"/>
          <w:lang w:eastAsia="zh-CN"/>
        </w:rPr>
        <w:t xml:space="preserve">）</w:t>
      </w:r>
      <w:r>
        <w:rPr>
          <w:rFonts w:hint="eastAsia" w:ascii="宋体" w:hAnsi="宋体" w:eastAsia="宋体" w:cs="宋体"/>
          <w:color w:val="auto"/>
          <w:sz w:val="24"/>
          <w:szCs w:val="24"/>
        </w:rPr>
        <w:t xml:space="preserve">本项目不接受联合体投标。</w:t>
      </w:r>
      <w:r/>
    </w:p>
    <w:p>
      <w:pPr>
        <w:ind w:left="0" w:firstLine="487"/>
        <w:keepLines w:val="0"/>
        <w:keepNext w:val="0"/>
        <w:pageBreakBefore w:val="0"/>
        <w:spacing w:line="360" w:lineRule="auto"/>
        <w:rPr>
          <w:rFonts w:hint="eastAsia" w:ascii="宋体" w:hAnsi="宋体" w:eastAsia="宋体" w:cs="宋体"/>
          <w:b/>
          <w:bCs/>
          <w:color w:val="auto"/>
          <w:sz w:val="24"/>
        </w:rPr>
      </w:pPr>
      <w:r>
        <w:rPr>
          <w:rFonts w:hint="eastAsia" w:ascii="宋体" w:hAnsi="宋体" w:cs="宋体"/>
          <w:b/>
          <w:bCs/>
          <w:color w:val="auto"/>
          <w:sz w:val="24"/>
          <w:lang w:eastAsia="zh-CN"/>
        </w:rPr>
        <w:t xml:space="preserve">投标人</w:t>
      </w:r>
      <w:r>
        <w:rPr>
          <w:rFonts w:hint="eastAsia" w:ascii="宋体" w:hAnsi="宋体" w:eastAsia="宋体" w:cs="宋体"/>
          <w:b/>
          <w:bCs/>
          <w:color w:val="auto"/>
          <w:sz w:val="24"/>
        </w:rPr>
        <w:t xml:space="preserve">资格要求以</w:t>
      </w:r>
      <w:r>
        <w:rPr>
          <w:rFonts w:hint="eastAsia" w:ascii="宋体" w:hAnsi="宋体" w:cs="宋体"/>
          <w:b/>
          <w:bCs/>
          <w:color w:val="auto"/>
          <w:sz w:val="24"/>
          <w:lang w:eastAsia="zh-CN"/>
        </w:rPr>
        <w:t xml:space="preserve">招标文件</w:t>
      </w:r>
      <w:r>
        <w:rPr>
          <w:rFonts w:hint="eastAsia" w:ascii="宋体" w:hAnsi="宋体" w:eastAsia="宋体" w:cs="宋体"/>
          <w:b/>
          <w:bCs/>
          <w:color w:val="auto"/>
          <w:sz w:val="24"/>
        </w:rPr>
        <w:t xml:space="preserve">第六章第八条资质审查时</w:t>
      </w:r>
      <w:r>
        <w:rPr>
          <w:rFonts w:hint="eastAsia" w:ascii="宋体" w:hAnsi="宋体" w:cs="宋体"/>
          <w:b/>
          <w:bCs/>
          <w:color w:val="auto"/>
          <w:sz w:val="24"/>
          <w:lang w:eastAsia="zh-CN"/>
        </w:rPr>
        <w:t xml:space="preserve">投标人</w:t>
      </w:r>
      <w:r>
        <w:rPr>
          <w:rFonts w:hint="eastAsia" w:ascii="宋体" w:hAnsi="宋体" w:eastAsia="宋体" w:cs="宋体"/>
          <w:b/>
          <w:bCs/>
          <w:color w:val="auto"/>
          <w:sz w:val="24"/>
        </w:rPr>
        <w:t xml:space="preserve">必须提交的资格证明文件为准。</w:t>
      </w:r>
      <w:r/>
    </w:p>
    <w:p>
      <w:pPr>
        <w:pStyle w:val="1069"/>
        <w:ind w:left="0"/>
        <w:keepLines w:val="0"/>
        <w:keepNext w:val="0"/>
        <w:pageBreakBefore w:val="0"/>
        <w:spacing w:line="360" w:lineRule="auto"/>
        <w:rPr>
          <w:rFonts w:hint="eastAsia" w:ascii="宋体" w:hAnsi="宋体" w:eastAsia="宋体" w:cs="宋体"/>
          <w:b/>
          <w:bCs/>
          <w:color w:val="auto"/>
          <w:szCs w:val="24"/>
          <w:lang w:val="en-US"/>
        </w:rPr>
      </w:pPr>
      <w:r>
        <w:rPr>
          <w:rFonts w:hint="eastAsia" w:ascii="宋体" w:hAnsi="宋体" w:eastAsia="宋体" w:cs="宋体"/>
          <w:b/>
          <w:bCs/>
          <w:color w:val="auto"/>
          <w:szCs w:val="24"/>
          <w:lang w:val="en-US"/>
        </w:rPr>
        <w:t xml:space="preserve">三、获取</w:t>
      </w:r>
      <w:r>
        <w:rPr>
          <w:rFonts w:hint="eastAsia" w:ascii="宋体" w:hAnsi="宋体" w:eastAsia="宋体" w:cs="宋体"/>
          <w:b/>
          <w:bCs/>
          <w:color w:val="auto"/>
          <w:szCs w:val="24"/>
          <w:lang w:val="en-US" w:eastAsia="zh-CN"/>
        </w:rPr>
        <w:t xml:space="preserve">招标文件</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时间：</w:t>
      </w:r>
      <w:r>
        <w:rPr>
          <w:rFonts w:hint="eastAsia" w:ascii="宋体" w:hAnsi="宋体" w:cs="宋体"/>
          <w:color w:val="auto"/>
          <w:sz w:val="24"/>
          <w:lang w:val="en-US" w:eastAsia="zh-CN"/>
        </w:rPr>
        <w:t xml:space="preserve">自招标文件公告发布之日起5个工作日</w:t>
      </w:r>
      <w:r/>
    </w:p>
    <w:p>
      <w:pPr>
        <w:pStyle w:val="836"/>
        <w:ind w:firstLine="480"/>
        <w:keepNext w:val="0"/>
        <w:pageBreakBefore w:val="0"/>
        <w:spacing w:before="0" w:beforeAutospacing="0" w:after="0" w:afterAutospacing="0" w:line="360" w:lineRule="auto"/>
        <w:rPr>
          <w:rFonts w:hint="eastAsia" w:ascii="宋体" w:hAnsi="宋体" w:cs="宋体"/>
          <w:color w:val="auto"/>
          <w:sz w:val="24"/>
        </w:rPr>
      </w:pPr>
      <w:r>
        <w:rPr>
          <w:rFonts w:hint="eastAsia" w:ascii="宋体" w:hAnsi="宋体" w:cs="宋体"/>
          <w:color w:val="auto"/>
          <w:sz w:val="24"/>
          <w:lang w:eastAsia="zh-CN"/>
        </w:rPr>
        <w:t xml:space="preserve">地点</w:t>
      </w:r>
      <w:r>
        <w:rPr>
          <w:rFonts w:hint="eastAsia" w:ascii="宋体" w:hAnsi="宋体" w:cs="宋体"/>
          <w:color w:val="auto"/>
          <w:sz w:val="24"/>
        </w:rPr>
        <w:t xml:space="preserve">：江苏政府采购网或者淮安市政府采购网</w:t>
      </w:r>
      <w:r/>
    </w:p>
    <w:p>
      <w:pPr>
        <w:pStyle w:val="836"/>
        <w:ind w:firstLine="480"/>
        <w:keepNext w:val="0"/>
        <w:pageBreakBefore w:val="0"/>
        <w:spacing w:before="0" w:beforeAutospacing="0" w:after="0" w:afterAutospacing="0" w:line="360" w:lineRule="auto"/>
        <w:rPr>
          <w:rFonts w:hint="eastAsia" w:ascii="宋体" w:hAnsi="宋体" w:cs="宋体"/>
          <w:color w:val="auto"/>
          <w:sz w:val="24"/>
          <w:highlight w:val="yellow"/>
        </w:rPr>
      </w:pPr>
      <w:r>
        <w:rPr>
          <w:rFonts w:hint="eastAsia" w:ascii="宋体" w:hAnsi="宋体" w:cs="宋体"/>
          <w:color w:val="auto"/>
          <w:sz w:val="24"/>
        </w:rPr>
        <w:t xml:space="preserve">方式：苏采云</w:t>
      </w:r>
      <w:r/>
    </w:p>
    <w:p>
      <w:pPr>
        <w:pStyle w:val="836"/>
        <w:ind w:firstLine="480"/>
        <w:keepNext w:val="0"/>
        <w:pageBreakBefore w:val="0"/>
        <w:spacing w:before="0" w:beforeAutospacing="0" w:after="0" w:afterAutospacing="0" w:line="360" w:lineRule="auto"/>
        <w:rPr>
          <w:rFonts w:hint="eastAsia"/>
          <w:color w:val="auto"/>
        </w:rPr>
      </w:pPr>
      <w:r>
        <w:rPr>
          <w:rFonts w:hint="eastAsia"/>
          <w:color w:val="auto"/>
          <w:shd w:val="clear" w:color="auto" w:fill="ffffff"/>
        </w:rPr>
        <w:t xml:space="preserve">价格：0元</w:t>
      </w:r>
      <w:r/>
    </w:p>
    <w:p>
      <w:pPr>
        <w:pStyle w:val="1069"/>
        <w:ind w:left="0"/>
        <w:keepLines w:val="0"/>
        <w:keepNext w:val="0"/>
        <w:pageBreakBefore w:val="0"/>
        <w:spacing w:line="360" w:lineRule="auto"/>
        <w:rPr>
          <w:rFonts w:hint="eastAsia" w:ascii="宋体" w:hAnsi="宋体" w:eastAsia="宋体" w:cs="宋体"/>
          <w:b/>
          <w:bCs/>
          <w:color w:val="auto"/>
          <w:szCs w:val="24"/>
          <w:lang w:val="en-US"/>
        </w:rPr>
      </w:pPr>
      <w:r>
        <w:rPr>
          <w:rFonts w:hint="eastAsia" w:ascii="宋体" w:hAnsi="宋体" w:eastAsia="宋体" w:cs="宋体"/>
          <w:b/>
          <w:bCs/>
          <w:color w:val="auto"/>
          <w:szCs w:val="24"/>
          <w:lang w:val="en-US"/>
        </w:rPr>
        <w:t xml:space="preserve">四、</w:t>
      </w:r>
      <w:r>
        <w:rPr>
          <w:rFonts w:hint="eastAsia" w:ascii="宋体" w:hAnsi="宋体" w:eastAsia="宋体" w:cs="宋体"/>
          <w:b/>
          <w:bCs/>
          <w:color w:val="auto"/>
          <w:szCs w:val="24"/>
          <w:lang w:val="en-US" w:eastAsia="zh-CN"/>
        </w:rPr>
        <w:t xml:space="preserve">投标文件</w:t>
      </w:r>
      <w:r>
        <w:rPr>
          <w:rFonts w:hint="eastAsia" w:ascii="宋体" w:hAnsi="宋体" w:eastAsia="宋体" w:cs="宋体"/>
          <w:b/>
          <w:bCs/>
          <w:color w:val="auto"/>
          <w:szCs w:val="24"/>
          <w:lang w:val="en-US"/>
        </w:rPr>
        <w:t xml:space="preserve">提交</w:t>
      </w:r>
      <w:r/>
    </w:p>
    <w:p>
      <w:pPr>
        <w:pStyle w:val="836"/>
        <w:ind w:firstLine="480"/>
        <w:keepNext w:val="0"/>
        <w:pageBreakBefore w:val="0"/>
        <w:spacing w:before="0" w:beforeAutospacing="0" w:after="0" w:afterAutospacing="0" w:line="360" w:lineRule="auto"/>
        <w:rPr>
          <w:rFonts w:hint="eastAsia"/>
          <w:color w:val="auto"/>
        </w:rPr>
      </w:pPr>
      <w:r>
        <w:rPr>
          <w:rFonts w:hint="eastAsia"/>
          <w:color w:val="auto"/>
        </w:rPr>
        <w:t xml:space="preserve">截止时间：</w:t>
      </w:r>
      <w:r>
        <w:rPr>
          <w:rFonts w:hint="eastAsia" w:ascii="宋体" w:hAnsi="宋体" w:cs="宋体"/>
          <w:color w:val="auto"/>
          <w:sz w:val="24"/>
          <w:lang w:val="en-US" w:eastAsia="zh-CN"/>
        </w:rPr>
        <w:t xml:space="preserve">202</w:t>
      </w:r>
      <w:r>
        <w:rPr>
          <w:rFonts w:hint="eastAsia" w:cs="宋体"/>
          <w:color w:val="auto"/>
          <w:sz w:val="24"/>
          <w:lang w:val="en-US" w:eastAsia="zh-CN"/>
        </w:rPr>
        <w:t xml:space="preserve">6</w:t>
      </w:r>
      <w:r>
        <w:rPr>
          <w:rFonts w:hint="eastAsia" w:ascii="宋体" w:hAnsi="宋体" w:cs="宋体"/>
          <w:color w:val="auto"/>
          <w:sz w:val="24"/>
          <w:lang w:val="en-US" w:eastAsia="zh-CN"/>
        </w:rPr>
        <w:t xml:space="preserve">年</w:t>
      </w:r>
      <w:r>
        <w:rPr>
          <w:rFonts w:hint="eastAsia" w:cs="宋体"/>
          <w:color w:val="auto"/>
          <w:sz w:val="24"/>
          <w:lang w:val="en-US" w:eastAsia="zh-CN"/>
        </w:rPr>
        <w:t xml:space="preserve">1</w:t>
      </w:r>
      <w:r>
        <w:rPr>
          <w:rFonts w:hint="eastAsia" w:ascii="宋体" w:hAnsi="宋体" w:cs="宋体"/>
          <w:color w:val="auto"/>
          <w:sz w:val="24"/>
          <w:lang w:val="en-US" w:eastAsia="zh-CN"/>
        </w:rPr>
        <w:t xml:space="preserve">月</w:t>
      </w:r>
      <w:r>
        <w:rPr>
          <w:rFonts w:hint="eastAsia" w:cs="宋体"/>
          <w:color w:val="auto"/>
          <w:sz w:val="24"/>
          <w:lang w:val="en-US" w:eastAsia="zh-CN"/>
        </w:rPr>
        <w:t xml:space="preserve">4</w:t>
      </w:r>
      <w:r>
        <w:rPr>
          <w:rFonts w:hint="eastAsia" w:ascii="宋体" w:hAnsi="宋体" w:cs="宋体"/>
          <w:color w:val="auto"/>
          <w:sz w:val="24"/>
          <w:lang w:val="en-US" w:eastAsia="zh-CN"/>
        </w:rPr>
        <w:t xml:space="preserve">日</w:t>
      </w:r>
      <w:r>
        <w:rPr>
          <w:rFonts w:hint="eastAsia"/>
          <w:color w:val="auto"/>
          <w:lang w:val="en-US" w:eastAsia="zh-CN"/>
        </w:rPr>
        <w:t xml:space="preserve">9</w:t>
      </w:r>
      <w:r>
        <w:rPr>
          <w:rFonts w:hint="eastAsia"/>
          <w:color w:val="auto"/>
        </w:rPr>
        <w:t xml:space="preserve">点</w:t>
      </w:r>
      <w:r>
        <w:rPr>
          <w:rFonts w:hint="eastAsia"/>
          <w:color w:val="auto"/>
          <w:lang w:val="en-US" w:eastAsia="zh-CN"/>
        </w:rPr>
        <w:t xml:space="preserve">00</w:t>
      </w:r>
      <w:r>
        <w:rPr>
          <w:rFonts w:hint="eastAsia"/>
          <w:color w:val="auto"/>
        </w:rPr>
        <w:t xml:space="preserve">分</w:t>
      </w:r>
      <w:r/>
    </w:p>
    <w:p>
      <w:pPr>
        <w:pStyle w:val="836"/>
        <w:ind w:firstLine="480"/>
        <w:keepNext w:val="0"/>
        <w:pageBreakBefore w:val="0"/>
        <w:spacing w:before="0" w:beforeAutospacing="0" w:after="0" w:afterAutospacing="0" w:line="360" w:lineRule="auto"/>
        <w:rPr>
          <w:rFonts w:hint="eastAsia" w:ascii="宋体" w:hAnsi="宋体"/>
          <w:color w:val="auto"/>
          <w:sz w:val="24"/>
          <w:szCs w:val="24"/>
          <w:highlight w:val="none"/>
        </w:rPr>
      </w:pPr>
      <w:r>
        <w:rPr>
          <w:rFonts w:hint="eastAsia"/>
          <w:color w:val="auto"/>
        </w:rPr>
        <w:t xml:space="preserve">地点：</w:t>
      </w:r>
      <w:r>
        <w:rPr>
          <w:rFonts w:hint="eastAsia"/>
          <w:color w:val="auto"/>
          <w:sz w:val="24"/>
          <w:szCs w:val="24"/>
          <w:highlight w:val="none"/>
          <w:lang w:eastAsia="zh-CN"/>
        </w:rPr>
        <w:t xml:space="preserve">“</w:t>
      </w:r>
      <w:r>
        <w:rPr>
          <w:rFonts w:hint="eastAsia" w:ascii="宋体" w:hAnsi="宋体"/>
          <w:color w:val="auto"/>
          <w:sz w:val="24"/>
          <w:szCs w:val="24"/>
          <w:highlight w:val="none"/>
        </w:rPr>
        <w:t xml:space="preserve">苏采云</w:t>
      </w:r>
      <w:r>
        <w:rPr>
          <w:rFonts w:hint="eastAsia"/>
          <w:color w:val="auto"/>
          <w:sz w:val="24"/>
          <w:szCs w:val="24"/>
          <w:highlight w:val="none"/>
          <w:lang w:eastAsia="zh-CN"/>
        </w:rPr>
        <w:t xml:space="preserve">”</w:t>
      </w:r>
      <w:r>
        <w:rPr>
          <w:rFonts w:hint="eastAsia" w:ascii="宋体" w:hAnsi="宋体"/>
          <w:color w:val="auto"/>
          <w:sz w:val="24"/>
          <w:szCs w:val="24"/>
          <w:highlight w:val="none"/>
        </w:rPr>
        <w:t xml:space="preserve">政府采购交易系统网上开标大厅</w:t>
      </w:r>
      <w:r/>
    </w:p>
    <w:p>
      <w:pPr>
        <w:pStyle w:val="836"/>
        <w:numPr>
          <w:ilvl w:val="0"/>
          <w:numId w:val="0"/>
        </w:numPr>
        <w:keepNext w:val="0"/>
        <w:pageBreakBefore w:val="0"/>
        <w:spacing w:before="0" w:beforeAutospacing="0" w:after="0" w:afterAutospacing="0" w:line="360" w:lineRule="auto"/>
        <w:rPr>
          <w:rFonts w:hint="eastAsia" w:ascii="宋体" w:hAnsi="宋体" w:eastAsia="宋体" w:cs="宋体"/>
          <w:b/>
          <w:color w:val="auto"/>
          <w:shd w:val="clear" w:color="auto" w:fill="ffffff"/>
          <w:lang w:eastAsia="zh-CN"/>
        </w:rPr>
      </w:pPr>
      <w:r>
        <w:rPr>
          <w:rFonts w:hint="eastAsia" w:eastAsia="宋体" w:cs="宋体"/>
          <w:b/>
          <w:color w:val="auto"/>
          <w:shd w:val="clear" w:color="auto" w:fill="ffffff"/>
          <w:lang w:eastAsia="zh-CN"/>
        </w:rPr>
        <w:t xml:space="preserve">五、</w:t>
      </w:r>
      <w:r>
        <w:rPr>
          <w:rFonts w:hint="eastAsia" w:ascii="宋体" w:hAnsi="宋体" w:eastAsia="宋体" w:cs="宋体"/>
          <w:b/>
          <w:color w:val="auto"/>
          <w:shd w:val="clear" w:color="auto" w:fill="ffffff"/>
          <w:lang w:eastAsia="zh-CN"/>
        </w:rPr>
        <w:t xml:space="preserve">开启</w:t>
      </w:r>
      <w:r/>
    </w:p>
    <w:p>
      <w:pPr>
        <w:pStyle w:val="836"/>
        <w:ind w:firstLine="480"/>
        <w:keepNext w:val="0"/>
        <w:pageBreakBefore w:val="0"/>
        <w:spacing w:before="0" w:beforeAutospacing="0" w:after="0" w:afterAutospacing="0" w:line="360" w:lineRule="auto"/>
        <w:rPr>
          <w:rFonts w:hint="eastAsia"/>
          <w:color w:val="auto"/>
        </w:rPr>
      </w:pPr>
      <w:r>
        <w:rPr>
          <w:rFonts w:hint="eastAsia"/>
          <w:color w:val="auto"/>
        </w:rPr>
        <w:t xml:space="preserve">时间：</w:t>
      </w:r>
      <w:r>
        <w:rPr>
          <w:rFonts w:hint="eastAsia" w:ascii="宋体" w:hAnsi="宋体" w:cs="宋体"/>
          <w:color w:val="auto"/>
          <w:sz w:val="24"/>
          <w:lang w:val="en-US" w:eastAsia="zh-CN"/>
        </w:rPr>
        <w:t xml:space="preserve">202</w:t>
      </w:r>
      <w:r>
        <w:rPr>
          <w:rFonts w:hint="eastAsia" w:cs="宋体"/>
          <w:color w:val="auto"/>
          <w:sz w:val="24"/>
          <w:lang w:val="en-US" w:eastAsia="zh-CN"/>
        </w:rPr>
        <w:t xml:space="preserve">6</w:t>
      </w:r>
      <w:r>
        <w:rPr>
          <w:rFonts w:hint="eastAsia" w:ascii="宋体" w:hAnsi="宋体" w:cs="宋体"/>
          <w:color w:val="auto"/>
          <w:sz w:val="24"/>
          <w:lang w:val="en-US" w:eastAsia="zh-CN"/>
        </w:rPr>
        <w:t xml:space="preserve">年</w:t>
      </w:r>
      <w:r>
        <w:rPr>
          <w:rFonts w:hint="eastAsia" w:cs="宋体"/>
          <w:color w:val="auto"/>
          <w:sz w:val="24"/>
          <w:lang w:val="en-US" w:eastAsia="zh-CN"/>
        </w:rPr>
        <w:t xml:space="preserve">1</w:t>
      </w:r>
      <w:r>
        <w:rPr>
          <w:rFonts w:hint="eastAsia" w:ascii="宋体" w:hAnsi="宋体" w:cs="宋体"/>
          <w:color w:val="auto"/>
          <w:sz w:val="24"/>
          <w:lang w:val="en-US" w:eastAsia="zh-CN"/>
        </w:rPr>
        <w:t xml:space="preserve">月</w:t>
      </w:r>
      <w:r>
        <w:rPr>
          <w:rFonts w:hint="eastAsia" w:cs="宋体"/>
          <w:color w:val="auto"/>
          <w:sz w:val="24"/>
          <w:lang w:val="en-US" w:eastAsia="zh-CN"/>
        </w:rPr>
        <w:t xml:space="preserve">4</w:t>
      </w:r>
      <w:r>
        <w:rPr>
          <w:rFonts w:hint="eastAsia" w:ascii="宋体" w:hAnsi="宋体" w:cs="宋体"/>
          <w:color w:val="auto"/>
          <w:sz w:val="24"/>
          <w:lang w:val="en-US" w:eastAsia="zh-CN"/>
        </w:rPr>
        <w:t xml:space="preserve">日</w:t>
      </w:r>
      <w:r>
        <w:rPr>
          <w:rFonts w:hint="eastAsia"/>
          <w:color w:val="auto"/>
          <w:lang w:val="en-US" w:eastAsia="zh-CN"/>
        </w:rPr>
        <w:t xml:space="preserve">9</w:t>
      </w:r>
      <w:r>
        <w:rPr>
          <w:rFonts w:hint="eastAsia"/>
          <w:color w:val="auto"/>
        </w:rPr>
        <w:t xml:space="preserve">点</w:t>
      </w:r>
      <w:r>
        <w:rPr>
          <w:rFonts w:hint="eastAsia"/>
          <w:color w:val="auto"/>
          <w:lang w:val="en-US" w:eastAsia="zh-CN"/>
        </w:rPr>
        <w:t xml:space="preserve">00</w:t>
      </w:r>
      <w:r>
        <w:rPr>
          <w:rFonts w:hint="eastAsia"/>
          <w:color w:val="auto"/>
        </w:rPr>
        <w:t xml:space="preserve">分</w:t>
      </w:r>
      <w:r/>
    </w:p>
    <w:p>
      <w:pPr>
        <w:pStyle w:val="836"/>
        <w:ind w:firstLine="480"/>
        <w:keepNext w:val="0"/>
        <w:pageBreakBefore w:val="0"/>
        <w:spacing w:before="0" w:beforeAutospacing="0" w:after="0" w:afterAutospacing="0" w:line="360" w:lineRule="auto"/>
        <w:rPr>
          <w:rFonts w:hint="eastAsia" w:ascii="宋体" w:hAnsi="宋体" w:eastAsia="宋体" w:cs="宋体"/>
          <w:b/>
          <w:bCs/>
          <w:color w:val="auto"/>
          <w:szCs w:val="24"/>
          <w:lang w:val="en-US"/>
        </w:rPr>
      </w:pPr>
      <w:r>
        <w:rPr>
          <w:rFonts w:hint="eastAsia" w:ascii="宋体" w:hAnsi="宋体" w:eastAsia="宋体" w:cs="宋体"/>
          <w:color w:val="auto"/>
          <w:lang w:val="en-US" w:eastAsia="zh-CN"/>
        </w:rPr>
        <w:t xml:space="preserve">地点：金湖县金湖不见面开标大厅二室</w:t>
      </w:r>
      <w:r/>
    </w:p>
    <w:p>
      <w:pPr>
        <w:pStyle w:val="1069"/>
        <w:ind w:left="0"/>
        <w:keepLines w:val="0"/>
        <w:keepNext w:val="0"/>
        <w:pageBreakBefore w:val="0"/>
        <w:spacing w:line="360" w:lineRule="auto"/>
        <w:rPr>
          <w:rFonts w:hint="eastAsia" w:ascii="宋体" w:hAnsi="宋体" w:eastAsia="宋体" w:cs="宋体"/>
          <w:b/>
          <w:bCs/>
          <w:color w:val="auto"/>
          <w:szCs w:val="24"/>
          <w:lang w:val="en-US"/>
        </w:rPr>
      </w:pPr>
      <w:r>
        <w:rPr>
          <w:rFonts w:hint="eastAsia" w:ascii="宋体" w:hAnsi="宋体" w:eastAsia="宋体" w:cs="宋体"/>
          <w:b/>
          <w:bCs/>
          <w:color w:val="auto"/>
          <w:szCs w:val="24"/>
          <w:lang w:val="en-US" w:eastAsia="zh-CN"/>
        </w:rPr>
        <w:t xml:space="preserve">六</w:t>
      </w:r>
      <w:r>
        <w:rPr>
          <w:rFonts w:hint="eastAsia" w:ascii="宋体" w:hAnsi="宋体" w:eastAsia="宋体" w:cs="宋体"/>
          <w:b/>
          <w:bCs/>
          <w:color w:val="auto"/>
          <w:szCs w:val="24"/>
          <w:lang w:val="en-US"/>
        </w:rPr>
        <w:t xml:space="preserve">、公告期限</w:t>
      </w:r>
      <w:r/>
    </w:p>
    <w:p>
      <w:pPr>
        <w:pStyle w:val="1069"/>
        <w:ind w:left="0" w:firstLine="480"/>
        <w:keepLines w:val="0"/>
        <w:keepNext w:val="0"/>
        <w:pageBreakBefore w:val="0"/>
        <w:spacing w:line="360" w:lineRule="auto"/>
        <w:rPr>
          <w:rFonts w:hint="eastAsia" w:ascii="宋体" w:hAnsi="宋体" w:eastAsia="宋体" w:cs="宋体"/>
          <w:color w:val="auto"/>
          <w:szCs w:val="24"/>
          <w:lang w:val="en-US"/>
        </w:rPr>
      </w:pPr>
      <w:r>
        <w:rPr>
          <w:rFonts w:hint="eastAsia" w:ascii="宋体" w:hAnsi="宋体" w:eastAsia="宋体" w:cs="宋体"/>
          <w:color w:val="auto"/>
          <w:szCs w:val="24"/>
          <w:lang w:val="en-US"/>
        </w:rPr>
        <w:t xml:space="preserve">自本公告发布之日起</w:t>
      </w:r>
      <w:r>
        <w:rPr>
          <w:rFonts w:hint="eastAsia" w:ascii="宋体" w:hAnsi="宋体" w:eastAsia="宋体" w:cs="宋体"/>
          <w:color w:val="auto"/>
          <w:szCs w:val="24"/>
          <w:lang w:val="en-US" w:eastAsia="zh-CN"/>
        </w:rPr>
        <w:t xml:space="preserve">五</w:t>
      </w:r>
      <w:r>
        <w:rPr>
          <w:rFonts w:hint="eastAsia" w:ascii="宋体" w:hAnsi="宋体" w:eastAsia="宋体" w:cs="宋体"/>
          <w:color w:val="auto"/>
          <w:szCs w:val="24"/>
          <w:lang w:val="en-US"/>
        </w:rPr>
        <w:t xml:space="preserve">个工作日。</w:t>
      </w:r>
      <w:r/>
    </w:p>
    <w:p>
      <w:pPr>
        <w:pStyle w:val="1069"/>
        <w:ind w:left="0"/>
        <w:keepLines w:val="0"/>
        <w:keepNext w:val="0"/>
        <w:pageBreakBefore w:val="0"/>
        <w:spacing w:line="360" w:lineRule="auto"/>
        <w:rPr>
          <w:rFonts w:hint="eastAsia" w:ascii="宋体" w:hAnsi="宋体" w:eastAsia="宋体" w:cs="宋体"/>
          <w:b/>
          <w:bCs/>
          <w:color w:val="auto"/>
          <w:szCs w:val="24"/>
          <w:lang w:val="en-US"/>
        </w:rPr>
      </w:pPr>
      <w:r>
        <w:rPr>
          <w:rFonts w:hint="eastAsia" w:ascii="宋体" w:hAnsi="宋体" w:eastAsia="宋体" w:cs="宋体"/>
          <w:b/>
          <w:bCs/>
          <w:color w:val="auto"/>
          <w:szCs w:val="24"/>
          <w:lang w:val="en-US" w:eastAsia="zh-CN"/>
        </w:rPr>
        <w:t xml:space="preserve">七</w:t>
      </w:r>
      <w:r>
        <w:rPr>
          <w:rFonts w:hint="eastAsia" w:ascii="宋体" w:hAnsi="宋体" w:eastAsia="宋体" w:cs="宋体"/>
          <w:b/>
          <w:bCs/>
          <w:color w:val="auto"/>
          <w:szCs w:val="24"/>
          <w:lang w:val="en-US"/>
        </w:rPr>
        <w:t xml:space="preserve">、其他补充事宜</w:t>
      </w:r>
      <w:r/>
    </w:p>
    <w:p>
      <w:pPr>
        <w:pStyle w:val="836"/>
        <w:numPr>
          <w:ilvl w:val="0"/>
          <w:numId w:val="0"/>
        </w:numPr>
        <w:ind w:firstLine="480"/>
        <w:keepNext w:val="0"/>
        <w:pageBreakBefore w:val="0"/>
        <w:spacing w:before="0" w:beforeAutospacing="0" w:after="0" w:afterAutospacing="0" w:line="360" w:lineRule="auto"/>
        <w:rPr>
          <w:rFonts w:hint="eastAsia"/>
          <w:color w:val="auto"/>
        </w:rPr>
      </w:pPr>
      <w:r>
        <w:rPr>
          <w:rFonts w:hint="eastAsia" w:cs="宋体"/>
          <w:color w:val="auto"/>
          <w:sz w:val="24"/>
          <w:szCs w:val="24"/>
          <w:lang w:val="en-US" w:eastAsia="zh-CN" w:bidi="ar-SA"/>
        </w:rPr>
        <w:t xml:space="preserve">1.</w:t>
      </w:r>
      <w:r>
        <w:rPr>
          <w:rFonts w:hint="eastAsia"/>
          <w:color w:val="auto"/>
        </w:rPr>
        <w:t xml:space="preserve">本项目采用不见面电子投标。请</w:t>
      </w:r>
      <w:r>
        <w:rPr>
          <w:rFonts w:hint="eastAsia"/>
          <w:color w:val="auto"/>
          <w:lang w:eastAsia="zh-CN"/>
        </w:rPr>
        <w:t xml:space="preserve">供应商</w:t>
      </w:r>
      <w:r>
        <w:rPr>
          <w:rFonts w:hint="eastAsia"/>
          <w:color w:val="auto"/>
        </w:rPr>
        <w:t xml:space="preserve">严格按照</w:t>
      </w:r>
      <w:r>
        <w:rPr>
          <w:rFonts w:hint="eastAsia"/>
          <w:color w:val="auto"/>
          <w:lang w:eastAsia="zh-CN"/>
        </w:rPr>
        <w:t xml:space="preserve">招标文件</w:t>
      </w:r>
      <w:r>
        <w:rPr>
          <w:rFonts w:hint="eastAsia"/>
          <w:color w:val="auto"/>
        </w:rPr>
        <w:t xml:space="preserve">的规定编制、提交</w:t>
      </w:r>
      <w:r>
        <w:rPr>
          <w:rFonts w:hint="eastAsia"/>
          <w:color w:val="auto"/>
          <w:lang w:eastAsia="zh-CN"/>
        </w:rPr>
        <w:t xml:space="preserve">投标文件</w:t>
      </w:r>
      <w:r>
        <w:rPr>
          <w:rFonts w:hint="eastAsia"/>
          <w:color w:val="auto"/>
        </w:rPr>
        <w:t xml:space="preserve">，否则所造成的一切后果由</w:t>
      </w:r>
      <w:r>
        <w:rPr>
          <w:rFonts w:hint="eastAsia"/>
          <w:color w:val="auto"/>
          <w:lang w:eastAsia="zh-CN"/>
        </w:rPr>
        <w:t xml:space="preserve">供应商</w:t>
      </w:r>
      <w:r>
        <w:rPr>
          <w:rFonts w:hint="eastAsia"/>
          <w:color w:val="auto"/>
        </w:rPr>
        <w:t xml:space="preserve">自负。</w:t>
      </w:r>
      <w:r/>
    </w:p>
    <w:p>
      <w:pPr>
        <w:pStyle w:val="836"/>
        <w:numPr>
          <w:ilvl w:val="0"/>
          <w:numId w:val="0"/>
        </w:numPr>
        <w:ind w:firstLine="480"/>
        <w:keepNext w:val="0"/>
        <w:pageBreakBefore w:val="0"/>
        <w:spacing w:before="0" w:beforeAutospacing="0" w:after="0" w:afterAutospacing="0" w:line="360" w:lineRule="auto"/>
        <w:rPr>
          <w:rFonts w:hint="eastAsia"/>
          <w:color w:val="auto"/>
        </w:rPr>
      </w:pPr>
      <w:r>
        <w:rPr>
          <w:rFonts w:hint="eastAsia" w:cs="宋体"/>
          <w:color w:val="auto"/>
          <w:sz w:val="24"/>
          <w:szCs w:val="24"/>
          <w:lang w:val="en-US" w:eastAsia="zh-CN" w:bidi="ar-SA"/>
        </w:rPr>
        <w:t xml:space="preserve">2.</w:t>
      </w:r>
      <w:r>
        <w:rPr>
          <w:rFonts w:hint="eastAsia"/>
          <w:color w:val="auto"/>
        </w:rPr>
        <w:t xml:space="preserve">本项目无需投标保证金。</w:t>
      </w:r>
      <w:r/>
    </w:p>
    <w:p>
      <w:pPr>
        <w:pStyle w:val="836"/>
        <w:numPr>
          <w:ilvl w:val="0"/>
          <w:numId w:val="0"/>
        </w:numPr>
        <w:ind w:firstLine="480"/>
        <w:keepNext w:val="0"/>
        <w:pageBreakBefore w:val="0"/>
        <w:spacing w:before="0" w:beforeAutospacing="0" w:after="0" w:afterAutospacing="0" w:line="360" w:lineRule="auto"/>
        <w:rPr>
          <w:rFonts w:hint="eastAsia"/>
          <w:color w:val="auto"/>
        </w:rPr>
      </w:pPr>
      <w:r>
        <w:rPr>
          <w:rFonts w:hint="eastAsia" w:cs="宋体"/>
          <w:color w:val="auto"/>
          <w:sz w:val="24"/>
          <w:szCs w:val="24"/>
          <w:lang w:val="en-US" w:eastAsia="zh-CN" w:bidi="ar-SA"/>
        </w:rPr>
        <w:t xml:space="preserve">3.</w:t>
      </w:r>
      <w:r>
        <w:rPr>
          <w:rFonts w:hint="eastAsia"/>
          <w:color w:val="auto"/>
        </w:rPr>
        <w:t xml:space="preserve">本项目仅采购非进口产品（注：本文件所称进口产品是指通过中国海关报关验放进入中国境内且产自关境外的产品）。</w:t>
      </w:r>
      <w:r/>
    </w:p>
    <w:p>
      <w:pPr>
        <w:pStyle w:val="836"/>
        <w:numPr>
          <w:ilvl w:val="0"/>
          <w:numId w:val="0"/>
        </w:numPr>
        <w:ind w:firstLine="480"/>
        <w:keepNext w:val="0"/>
        <w:pageBreakBefore w:val="0"/>
        <w:spacing w:before="0" w:beforeAutospacing="0" w:after="0" w:afterAutospacing="0" w:line="360" w:lineRule="auto"/>
        <w:rPr>
          <w:rFonts w:hint="eastAsia"/>
          <w:color w:val="auto"/>
        </w:rPr>
      </w:pPr>
      <w:r>
        <w:rPr>
          <w:rFonts w:hint="eastAsia" w:cs="宋体"/>
          <w:color w:val="auto"/>
          <w:sz w:val="24"/>
          <w:szCs w:val="24"/>
          <w:lang w:val="en-US" w:eastAsia="zh-CN" w:bidi="ar-SA"/>
        </w:rPr>
        <w:t xml:space="preserve">4.</w:t>
      </w:r>
      <w:r>
        <w:rPr>
          <w:rFonts w:hint="eastAsia"/>
          <w:color w:val="auto"/>
        </w:rPr>
        <w:t xml:space="preserve">招标代理（下称代理人）：招标人委托金湖易采项目管理有限公司负责代理本次招标的相关事宜。</w:t>
      </w:r>
      <w:r/>
    </w:p>
    <w:p>
      <w:pPr>
        <w:pStyle w:val="836"/>
        <w:numPr>
          <w:ilvl w:val="0"/>
          <w:numId w:val="0"/>
        </w:numPr>
        <w:ind w:firstLine="480"/>
        <w:keepNext w:val="0"/>
        <w:pageBreakBefore w:val="0"/>
        <w:spacing w:before="0" w:beforeAutospacing="0" w:after="0" w:afterAutospacing="0" w:line="360" w:lineRule="auto"/>
        <w:rPr>
          <w:rFonts w:hint="eastAsia"/>
          <w:color w:val="auto"/>
          <w:highlight w:val="none"/>
          <w:lang w:eastAsia="zh-CN"/>
        </w:rPr>
      </w:pPr>
      <w:r>
        <w:rPr>
          <w:rFonts w:hint="eastAsia" w:cs="宋体"/>
          <w:color w:val="auto"/>
          <w:sz w:val="24"/>
          <w:szCs w:val="24"/>
          <w:highlight w:val="none"/>
          <w:lang w:val="en-US" w:eastAsia="zh-CN" w:bidi="ar-SA"/>
        </w:rPr>
        <w:t xml:space="preserve">5.</w:t>
      </w:r>
      <w:r>
        <w:rPr>
          <w:rFonts w:hint="eastAsia"/>
          <w:color w:val="auto"/>
          <w:highlight w:val="none"/>
        </w:rPr>
        <w:t xml:space="preserve">招标代理费：</w:t>
      </w:r>
      <w:r>
        <w:rPr>
          <w:rFonts w:hint="eastAsia"/>
          <w:color w:val="auto"/>
          <w:highlight w:val="none"/>
          <w:lang w:val="zh-CN" w:eastAsia="zh-CN"/>
        </w:rPr>
        <w:t xml:space="preserve">参照苏招协[2022]002号文件规定标准的</w:t>
      </w:r>
      <w:r>
        <w:rPr>
          <w:rFonts w:hint="eastAsia"/>
          <w:color w:val="auto"/>
          <w:highlight w:val="none"/>
          <w:lang w:val="en-US" w:eastAsia="zh-CN"/>
        </w:rPr>
        <w:t xml:space="preserve">85</w:t>
      </w:r>
      <w:r>
        <w:rPr>
          <w:rFonts w:hint="eastAsia"/>
          <w:color w:val="auto"/>
          <w:highlight w:val="none"/>
          <w:lang w:val="zh-CN" w:eastAsia="zh-CN"/>
        </w:rPr>
        <w:t xml:space="preserve">%为此次项目的招标代理费</w:t>
      </w:r>
      <w:r>
        <w:rPr>
          <w:rFonts w:hint="eastAsia"/>
          <w:color w:val="auto"/>
          <w:highlight w:val="none"/>
          <w:lang w:eastAsia="zh-CN"/>
        </w:rPr>
        <w:t xml:space="preserve">，</w:t>
      </w:r>
      <w:r>
        <w:rPr>
          <w:rFonts w:hint="eastAsia"/>
          <w:color w:val="auto"/>
          <w:highlight w:val="none"/>
          <w:lang w:val="zh-CN" w:eastAsia="zh-CN"/>
        </w:rPr>
        <w:t xml:space="preserve">应在中标通知书发放后</w:t>
      </w:r>
      <w:r>
        <w:rPr>
          <w:rFonts w:hint="eastAsia"/>
          <w:color w:val="auto"/>
          <w:highlight w:val="none"/>
          <w:lang w:val="en-US" w:eastAsia="zh-CN"/>
        </w:rPr>
        <w:t xml:space="preserve">五个工作日内</w:t>
      </w:r>
      <w:r>
        <w:rPr>
          <w:rFonts w:hint="eastAsia"/>
          <w:color w:val="auto"/>
          <w:highlight w:val="none"/>
          <w:lang w:eastAsia="zh-CN"/>
        </w:rPr>
        <w:t xml:space="preserve">向</w:t>
      </w:r>
      <w:r>
        <w:rPr>
          <w:rFonts w:hint="eastAsia"/>
          <w:color w:val="auto"/>
          <w:highlight w:val="none"/>
        </w:rPr>
        <w:t xml:space="preserve">招标代理</w:t>
      </w:r>
      <w:r>
        <w:rPr>
          <w:rFonts w:hint="eastAsia"/>
          <w:color w:val="auto"/>
          <w:highlight w:val="none"/>
          <w:lang w:eastAsia="zh-CN"/>
        </w:rPr>
        <w:t xml:space="preserve">一次性缴纳</w:t>
      </w:r>
      <w:r>
        <w:rPr>
          <w:rFonts w:hint="eastAsia"/>
          <w:color w:val="auto"/>
          <w:highlight w:val="none"/>
        </w:rPr>
        <w:t xml:space="preserve">招标代理费</w:t>
      </w:r>
      <w:r>
        <w:rPr>
          <w:rFonts w:hint="eastAsia"/>
          <w:color w:val="auto"/>
          <w:highlight w:val="none"/>
          <w:lang w:eastAsia="zh-CN"/>
        </w:rPr>
        <w:t xml:space="preserve">。此费用包含在投标报价中，不单独列项。</w:t>
      </w:r>
      <w:r/>
    </w:p>
    <w:p>
      <w:pPr>
        <w:pStyle w:val="836"/>
        <w:numPr>
          <w:ilvl w:val="0"/>
          <w:numId w:val="0"/>
        </w:numPr>
        <w:ind w:firstLine="482"/>
        <w:keepNext w:val="0"/>
        <w:pageBreakBefore w:val="0"/>
        <w:spacing w:before="0" w:beforeAutospacing="0" w:after="0" w:afterAutospacing="0" w:line="360" w:lineRule="auto"/>
        <w:rPr>
          <w:rFonts w:hint="eastAsia"/>
          <w:color w:val="auto"/>
          <w:highlight w:val="none"/>
        </w:rPr>
      </w:pPr>
      <w:r>
        <w:rPr>
          <w:rFonts w:hint="eastAsia" w:ascii="宋体" w:hAnsi="宋体" w:cs="宋体"/>
          <w:b/>
          <w:bCs/>
          <w:color w:val="auto"/>
          <w:sz w:val="24"/>
          <w:szCs w:val="24"/>
          <w:highlight w:val="none"/>
          <w:lang w:eastAsia="zh-CN"/>
        </w:rPr>
        <w:t xml:space="preserve">注</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根据《关于在全市公共资源交易领域全面推广应用数字人民币的通知》</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淮协调办</w:t>
      </w:r>
      <w:r>
        <w:rPr>
          <w:rFonts w:hint="eastAsia" w:cs="宋体"/>
          <w:b/>
          <w:bCs/>
          <w:color w:val="auto"/>
          <w:sz w:val="24"/>
          <w:szCs w:val="24"/>
          <w:highlight w:val="none"/>
          <w:lang w:eastAsia="zh-CN"/>
        </w:rPr>
        <w:t xml:space="preserve">〔2023〕33号）</w:t>
      </w:r>
      <w:r>
        <w:rPr>
          <w:rFonts w:hint="eastAsia" w:ascii="宋体" w:hAnsi="宋体" w:cs="宋体"/>
          <w:b/>
          <w:bCs/>
          <w:color w:val="auto"/>
          <w:sz w:val="24"/>
          <w:szCs w:val="24"/>
          <w:highlight w:val="none"/>
          <w:lang w:eastAsia="zh-CN"/>
        </w:rPr>
        <w:t xml:space="preserve">要求，本项目代理费支付形式建议采用数字人民币支付：</w:t>
      </w:r>
      <w:r>
        <w:rPr>
          <w:rFonts w:hint="eastAsia" w:cs="宋体"/>
          <w:b/>
          <w:bCs/>
          <w:color w:val="auto"/>
          <w:sz w:val="24"/>
          <w:szCs w:val="24"/>
          <w:highlight w:val="none"/>
          <w:lang w:eastAsia="zh-CN"/>
        </w:rPr>
        <w:t xml:space="preserve">招标人</w:t>
      </w:r>
      <w:r>
        <w:rPr>
          <w:rFonts w:hint="eastAsia" w:ascii="宋体" w:hAnsi="宋体" w:cs="宋体"/>
          <w:b/>
          <w:bCs/>
          <w:color w:val="auto"/>
          <w:sz w:val="24"/>
          <w:szCs w:val="24"/>
          <w:highlight w:val="none"/>
          <w:lang w:eastAsia="zh-CN"/>
        </w:rPr>
        <w:t xml:space="preserve">（</w:t>
      </w:r>
      <w:r>
        <w:rPr>
          <w:rFonts w:hint="eastAsia" w:cs="宋体"/>
          <w:b/>
          <w:bCs/>
          <w:color w:val="auto"/>
          <w:sz w:val="24"/>
          <w:szCs w:val="24"/>
          <w:highlight w:val="none"/>
          <w:lang w:eastAsia="zh-CN"/>
        </w:rPr>
        <w:t xml:space="preserve">中标人</w:t>
      </w:r>
      <w:r>
        <w:rPr>
          <w:rFonts w:hint="eastAsia" w:ascii="宋体" w:hAnsi="宋体" w:cs="宋体"/>
          <w:b/>
          <w:bCs/>
          <w:color w:val="auto"/>
          <w:sz w:val="24"/>
          <w:szCs w:val="24"/>
          <w:highlight w:val="none"/>
          <w:lang w:eastAsia="zh-CN"/>
        </w:rPr>
        <w:t xml:space="preserve">）须在</w:t>
      </w:r>
      <w:r>
        <w:rPr>
          <w:rFonts w:hint="eastAsia" w:cs="宋体"/>
          <w:b/>
          <w:bCs/>
          <w:color w:val="auto"/>
          <w:sz w:val="24"/>
          <w:szCs w:val="24"/>
          <w:highlight w:val="none"/>
          <w:lang w:eastAsia="zh-CN"/>
        </w:rPr>
        <w:t xml:space="preserve">基本账户</w:t>
      </w:r>
      <w:r>
        <w:rPr>
          <w:rFonts w:hint="eastAsia" w:ascii="宋体" w:hAnsi="宋体" w:cs="宋体"/>
          <w:b/>
          <w:bCs/>
          <w:color w:val="auto"/>
          <w:sz w:val="24"/>
          <w:szCs w:val="24"/>
          <w:highlight w:val="none"/>
          <w:lang w:eastAsia="zh-CN"/>
        </w:rPr>
        <w:t xml:space="preserve">下</w:t>
      </w:r>
      <w:r>
        <w:rPr>
          <w:rFonts w:hint="eastAsia" w:cs="宋体"/>
          <w:b/>
          <w:bCs/>
          <w:color w:val="auto"/>
          <w:sz w:val="24"/>
          <w:szCs w:val="24"/>
          <w:highlight w:val="none"/>
          <w:lang w:eastAsia="zh-CN"/>
        </w:rPr>
        <w:t xml:space="preserve">开通数字人民币</w:t>
      </w:r>
      <w:r>
        <w:rPr>
          <w:rFonts w:hint="eastAsia" w:ascii="宋体" w:hAnsi="宋体" w:cs="宋体"/>
          <w:b/>
          <w:bCs/>
          <w:color w:val="auto"/>
          <w:sz w:val="24"/>
          <w:szCs w:val="24"/>
          <w:highlight w:val="none"/>
          <w:lang w:eastAsia="zh-CN"/>
        </w:rPr>
        <w:t xml:space="preserve">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向代理机构数字人民币钱包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支付项目代理费。</w:t>
      </w:r>
      <w:r/>
    </w:p>
    <w:p>
      <w:pPr>
        <w:pStyle w:val="836"/>
        <w:numPr>
          <w:ilvl w:val="0"/>
          <w:numId w:val="0"/>
        </w:numPr>
        <w:ind w:firstLine="48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cs="宋体"/>
          <w:color w:val="auto"/>
          <w:highlight w:val="none"/>
          <w:lang w:val="en-US" w:eastAsia="zh-CN"/>
        </w:rPr>
        <w:t xml:space="preserve">6.</w:t>
      </w:r>
      <w:r>
        <w:rPr>
          <w:rFonts w:hint="eastAsia" w:ascii="宋体" w:hAnsi="宋体" w:eastAsia="宋体" w:cs="宋体"/>
          <w:color w:val="auto"/>
          <w:highlight w:val="none"/>
        </w:rPr>
        <w:t xml:space="preserve">根据省财政厅《关于更换全省政府采购交易系统CA数字证书和电子签章的通知》（苏财购〔2023〕101号），</w:t>
      </w:r>
      <w:r>
        <w:rPr>
          <w:rFonts w:hint="eastAsia" w:cs="宋体"/>
          <w:color w:val="auto"/>
          <w:highlight w:val="none"/>
          <w:lang w:eastAsia="zh-CN"/>
        </w:rPr>
        <w:t xml:space="preserve">“</w:t>
      </w:r>
      <w:r>
        <w:rPr>
          <w:rFonts w:hint="eastAsia" w:ascii="宋体" w:hAnsi="宋体" w:eastAsia="宋体" w:cs="宋体"/>
          <w:color w:val="auto"/>
          <w:highlight w:val="none"/>
        </w:rPr>
        <w:t xml:space="preserve">苏采云</w:t>
      </w:r>
      <w:r>
        <w:rPr>
          <w:rFonts w:hint="eastAsia" w:cs="宋体"/>
          <w:color w:val="auto"/>
          <w:highlight w:val="none"/>
          <w:lang w:eastAsia="zh-CN"/>
        </w:rPr>
        <w:t xml:space="preserve">”</w:t>
      </w:r>
      <w:r>
        <w:rPr>
          <w:rFonts w:hint="eastAsia" w:ascii="宋体" w:hAnsi="宋体" w:eastAsia="宋体" w:cs="宋体"/>
          <w:color w:val="auto"/>
          <w:highlight w:val="none"/>
        </w:rPr>
        <w:t xml:space="preserve">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cs="宋体"/>
          <w:color w:val="auto"/>
          <w:highlight w:val="none"/>
          <w:lang w:eastAsia="zh-CN"/>
        </w:rPr>
        <w:t xml:space="preserve">http://www.ccgp-jiangsu.gov.cn/jiangsu/zlxz/ee/ee3a4bc5a3454aa2b0d9312230633ce9.html</w:t>
      </w:r>
      <w:r>
        <w:rPr>
          <w:rFonts w:hint="eastAsia" w:ascii="宋体" w:hAnsi="宋体" w:eastAsia="宋体" w:cs="宋体"/>
          <w:color w:val="auto"/>
          <w:highlight w:val="none"/>
        </w:rPr>
        <w:t xml:space="preserve">。</w:t>
      </w:r>
      <w:r/>
    </w:p>
    <w:p>
      <w:pPr>
        <w:pStyle w:val="836"/>
        <w:numPr>
          <w:ilvl w:val="0"/>
          <w:numId w:val="0"/>
        </w:numPr>
        <w:ind w:firstLine="48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cs="宋体"/>
          <w:color w:val="auto"/>
          <w:sz w:val="24"/>
          <w:szCs w:val="24"/>
          <w:highlight w:val="none"/>
          <w:lang w:val="en-US" w:eastAsia="zh-CN" w:bidi="ar-SA"/>
        </w:rPr>
        <w:t xml:space="preserve">7.</w:t>
      </w:r>
      <w:r>
        <w:rPr>
          <w:rFonts w:hint="eastAsia" w:ascii="宋体" w:hAnsi="宋体" w:eastAsia="宋体" w:cs="宋体"/>
          <w:color w:val="auto"/>
          <w:highlight w:val="none"/>
        </w:rPr>
        <w:t xml:space="preserve">领取CA和办理电子签章</w:t>
      </w:r>
      <w:r>
        <w:rPr>
          <w:rFonts w:hint="eastAsia" w:cs="宋体"/>
          <w:color w:val="auto"/>
          <w:highlight w:val="none"/>
          <w:lang w:eastAsia="zh-CN"/>
        </w:rPr>
        <w:t xml:space="preserve">，</w:t>
      </w:r>
      <w:r>
        <w:rPr>
          <w:rFonts w:hint="eastAsia" w:ascii="宋体" w:hAnsi="宋体" w:eastAsia="宋体" w:cs="宋体"/>
          <w:color w:val="auto"/>
          <w:highlight w:val="none"/>
        </w:rPr>
        <w:t xml:space="preserve">请至淮安市清江浦区深圳路16号淮安市公共资源交易中心二楼13号CA办理窗口办理，具体联系方式见《苏采云系统</w:t>
      </w:r>
      <w:r>
        <w:rPr>
          <w:rFonts w:hint="eastAsia" w:cs="宋体"/>
          <w:color w:val="auto"/>
          <w:highlight w:val="none"/>
          <w:lang w:eastAsia="zh-CN"/>
        </w:rPr>
        <w:t xml:space="preserve">供应商</w:t>
      </w:r>
      <w:r>
        <w:rPr>
          <w:rFonts w:hint="eastAsia" w:ascii="宋体" w:hAnsi="宋体" w:eastAsia="宋体" w:cs="宋体"/>
          <w:color w:val="auto"/>
          <w:highlight w:val="none"/>
        </w:rPr>
        <w:t xml:space="preserve">操作手册》（以下简称《操作手册》）、进行注册并按《操作手册》要求制作、上传电子</w:t>
      </w:r>
      <w:r>
        <w:rPr>
          <w:rFonts w:hint="eastAsia" w:cs="宋体"/>
          <w:color w:val="auto"/>
          <w:highlight w:val="none"/>
          <w:lang w:eastAsia="zh-CN"/>
        </w:rPr>
        <w:t xml:space="preserve">投标文件</w:t>
      </w:r>
      <w:r>
        <w:rPr>
          <w:rFonts w:hint="eastAsia" w:ascii="宋体" w:hAnsi="宋体" w:eastAsia="宋体" w:cs="宋体"/>
          <w:color w:val="auto"/>
          <w:highlight w:val="none"/>
        </w:rPr>
        <w:t xml:space="preserve">。</w:t>
      </w:r>
      <w:r/>
    </w:p>
    <w:p>
      <w:pPr>
        <w:pStyle w:val="836"/>
        <w:numPr>
          <w:ilvl w:val="0"/>
          <w:numId w:val="0"/>
        </w:numPr>
        <w:ind w:firstLine="48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cs="宋体"/>
          <w:color w:val="auto"/>
          <w:highlight w:val="none"/>
          <w:lang w:val="en-US" w:eastAsia="zh-CN"/>
        </w:rPr>
        <w:t xml:space="preserve">8.</w:t>
      </w:r>
      <w:r>
        <w:rPr>
          <w:rFonts w:hint="eastAsia" w:ascii="宋体" w:hAnsi="宋体" w:eastAsia="宋体" w:cs="宋体"/>
          <w:color w:val="auto"/>
          <w:highlight w:val="none"/>
        </w:rPr>
        <w:t xml:space="preserve">有关本次招标的事项若存在变动或修改，敬请及时关注</w:t>
      </w:r>
      <w:r>
        <w:rPr>
          <w:rFonts w:hint="eastAsia" w:cs="宋体"/>
          <w:color w:val="auto"/>
          <w:highlight w:val="none"/>
          <w:lang w:eastAsia="zh-CN"/>
        </w:rPr>
        <w:t xml:space="preserve">招标人</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在</w:t>
      </w:r>
      <w:r>
        <w:rPr>
          <w:rFonts w:hint="eastAsia" w:cs="宋体"/>
          <w:color w:val="auto"/>
          <w:highlight w:val="none"/>
          <w:lang w:eastAsia="zh-CN"/>
        </w:rPr>
        <w:t xml:space="preserve">“</w:t>
      </w:r>
      <w:r>
        <w:rPr>
          <w:rFonts w:hint="eastAsia" w:ascii="宋体" w:hAnsi="宋体" w:eastAsia="宋体" w:cs="宋体"/>
          <w:color w:val="auto"/>
          <w:highlight w:val="none"/>
        </w:rPr>
        <w:t xml:space="preserve">淮安市政府采购网</w:t>
      </w:r>
      <w:r>
        <w:rPr>
          <w:rFonts w:hint="eastAsia" w:cs="宋体"/>
          <w:color w:val="auto"/>
          <w:highlight w:val="none"/>
          <w:lang w:eastAsia="zh-CN"/>
        </w:rPr>
        <w:t xml:space="preserve">”“</w:t>
      </w:r>
      <w:r>
        <w:rPr>
          <w:rFonts w:hint="eastAsia" w:cs="宋体"/>
          <w:color w:val="auto"/>
          <w:sz w:val="24"/>
          <w:highlight w:val="none"/>
          <w:lang w:eastAsia="zh-CN"/>
        </w:rPr>
        <w:t xml:space="preserve">江苏政府采购网”</w:t>
      </w:r>
      <w:r>
        <w:rPr>
          <w:rFonts w:hint="eastAsia" w:ascii="宋体" w:hAnsi="宋体" w:eastAsia="宋体" w:cs="宋体"/>
          <w:color w:val="auto"/>
          <w:highlight w:val="none"/>
        </w:rPr>
        <w:t xml:space="preserve">发布的更正公告。</w:t>
      </w:r>
      <w:r/>
    </w:p>
    <w:p>
      <w:pPr>
        <w:pStyle w:val="1069"/>
        <w:ind w:left="0"/>
        <w:keepLines w:val="0"/>
        <w:keepNext w:val="0"/>
        <w:pageBreakBefore w:val="0"/>
        <w:spacing w:line="360" w:lineRule="auto"/>
        <w:rPr>
          <w:rFonts w:hint="eastAsia" w:ascii="宋体" w:hAnsi="宋体" w:eastAsia="宋体" w:cs="宋体"/>
          <w:b/>
          <w:bCs/>
          <w:color w:val="auto"/>
          <w:szCs w:val="24"/>
          <w:lang w:val="en-US"/>
        </w:rPr>
      </w:pPr>
      <w:r>
        <w:rPr>
          <w:rFonts w:hint="eastAsia" w:ascii="宋体" w:hAnsi="宋体" w:eastAsia="宋体" w:cs="宋体"/>
          <w:b/>
          <w:bCs/>
          <w:color w:val="auto"/>
          <w:szCs w:val="24"/>
          <w:lang w:val="en-US" w:eastAsia="zh-CN"/>
        </w:rPr>
        <w:t xml:space="preserve">八</w:t>
      </w:r>
      <w:r>
        <w:rPr>
          <w:rFonts w:hint="eastAsia" w:ascii="宋体" w:hAnsi="宋体" w:eastAsia="宋体" w:cs="宋体"/>
          <w:b/>
          <w:bCs/>
          <w:color w:val="auto"/>
          <w:szCs w:val="24"/>
          <w:lang w:val="en-US"/>
        </w:rPr>
        <w:t xml:space="preserve">、凡对本次采购提出询问，请按以下方式联系</w:t>
      </w:r>
      <w:r/>
    </w:p>
    <w:p>
      <w:pPr>
        <w:ind w:firstLine="482"/>
        <w:keepNext w:val="0"/>
        <w:pageBreakBefore w:val="0"/>
        <w:spacing w:line="360" w:lineRule="auto"/>
        <w:rPr>
          <w:rFonts w:hint="eastAsia" w:ascii="宋体" w:hAnsi="宋体" w:cs="宋体"/>
          <w:b/>
          <w:bCs/>
          <w:color w:val="auto"/>
          <w:sz w:val="24"/>
        </w:rPr>
      </w:pPr>
      <w:r>
        <w:rPr>
          <w:rFonts w:hint="eastAsia" w:ascii="宋体" w:hAnsi="宋体" w:cs="宋体"/>
          <w:b/>
          <w:bCs/>
          <w:color w:val="auto"/>
          <w:sz w:val="24"/>
        </w:rPr>
        <w:t xml:space="preserve">1</w:t>
      </w:r>
      <w:r>
        <w:rPr>
          <w:rFonts w:hint="eastAsia" w:ascii="宋体" w:hAnsi="宋体" w:cs="宋体"/>
          <w:b/>
          <w:bCs/>
          <w:color w:val="auto"/>
          <w:sz w:val="24"/>
          <w:lang w:val="en-US" w:eastAsia="zh-CN"/>
        </w:rPr>
        <w:t xml:space="preserve">.</w:t>
      </w:r>
      <w:r>
        <w:rPr>
          <w:rFonts w:hint="eastAsia" w:ascii="宋体" w:hAnsi="宋体" w:cs="宋体"/>
          <w:b/>
          <w:bCs/>
          <w:color w:val="auto"/>
          <w:sz w:val="24"/>
          <w:lang w:eastAsia="zh-CN"/>
        </w:rPr>
        <w:t xml:space="preserve">招标人</w:t>
      </w:r>
      <w:r>
        <w:rPr>
          <w:rFonts w:hint="eastAsia" w:ascii="宋体" w:hAnsi="宋体" w:cs="宋体"/>
          <w:b/>
          <w:bCs/>
          <w:color w:val="auto"/>
          <w:sz w:val="24"/>
        </w:rPr>
        <w:t xml:space="preserve">信息</w:t>
      </w:r>
      <w:r/>
    </w:p>
    <w:p>
      <w:pPr>
        <w:pStyle w:val="1069"/>
        <w:ind w:firstLine="480"/>
        <w:keepNext w:val="0"/>
        <w:pageBreakBefore w:val="0"/>
        <w:spacing w:line="360" w:lineRule="auto"/>
        <w:rPr>
          <w:rFonts w:hint="eastAsia" w:ascii="宋体" w:hAnsi="宋体" w:eastAsia="宋体" w:cs="宋体"/>
          <w:color w:val="auto"/>
          <w:szCs w:val="24"/>
          <w:lang w:val="en-US" w:eastAsia="zh-CN"/>
        </w:rPr>
      </w:pPr>
      <w:r>
        <w:rPr>
          <w:rFonts w:hint="eastAsia" w:ascii="宋体" w:hAnsi="宋体" w:eastAsia="宋体" w:cs="宋体"/>
          <w:color w:val="auto"/>
          <w:szCs w:val="24"/>
          <w:lang w:val="en-US"/>
        </w:rPr>
        <w:t xml:space="preserve">名称：</w:t>
      </w:r>
      <w:r>
        <w:rPr>
          <w:rFonts w:hint="eastAsia" w:ascii="宋体" w:hAnsi="宋体" w:eastAsia="宋体" w:cs="宋体"/>
          <w:color w:val="auto"/>
          <w:szCs w:val="24"/>
          <w:lang w:val="en-US" w:eastAsia="zh-CN"/>
        </w:rPr>
        <w:t xml:space="preserve">金湖县住房和城乡建设局</w:t>
      </w:r>
      <w:r/>
    </w:p>
    <w:p>
      <w:pPr>
        <w:pStyle w:val="1069"/>
        <w:ind w:firstLine="480"/>
        <w:keepNext w:val="0"/>
        <w:pageBreakBefore w:val="0"/>
        <w:spacing w:line="360" w:lineRule="auto"/>
        <w:rPr>
          <w:rFonts w:hint="eastAsia" w:ascii="宋体" w:hAnsi="宋体" w:eastAsia="宋体" w:cs="宋体"/>
          <w:color w:val="auto"/>
          <w:szCs w:val="24"/>
          <w:lang w:val="en-US" w:eastAsia="zh-CN"/>
        </w:rPr>
      </w:pPr>
      <w:r>
        <w:rPr>
          <w:rFonts w:hint="eastAsia" w:ascii="宋体" w:hAnsi="宋体" w:eastAsia="宋体" w:cs="宋体"/>
          <w:color w:val="auto"/>
          <w:szCs w:val="24"/>
          <w:lang w:val="en-US"/>
        </w:rPr>
        <w:t xml:space="preserve">地址：金湖县</w:t>
      </w:r>
      <w:r/>
    </w:p>
    <w:p>
      <w:pPr>
        <w:numPr>
          <w:ilvl w:val="0"/>
          <w:numId w:val="0"/>
        </w:numPr>
        <w:ind w:firstLine="480"/>
        <w:keepNext w:val="0"/>
        <w:pageBreakBefore w:val="0"/>
        <w:spacing w:line="360" w:lineRule="auto"/>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联系方式：丁工  </w:t>
      </w:r>
      <w:r/>
    </w:p>
    <w:p>
      <w:pPr>
        <w:numPr>
          <w:ilvl w:val="0"/>
          <w:numId w:val="0"/>
        </w:numPr>
        <w:ind w:firstLine="480"/>
        <w:keepNext w:val="0"/>
        <w:pageBreakBefore w:val="0"/>
        <w:spacing w:line="360" w:lineRule="auto"/>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电话：13852312695</w:t>
      </w:r>
      <w:r/>
    </w:p>
    <w:p>
      <w:pPr>
        <w:numPr>
          <w:ilvl w:val="0"/>
          <w:numId w:val="0"/>
        </w:numPr>
        <w:ind w:firstLine="482"/>
        <w:keepNext w:val="0"/>
        <w:pageBreakBefore w:val="0"/>
        <w:spacing w:line="360" w:lineRule="auto"/>
        <w:rPr>
          <w:rFonts w:hint="eastAsia" w:ascii="宋体" w:hAnsi="宋体" w:cs="宋体"/>
          <w:b/>
          <w:bCs/>
          <w:color w:val="auto"/>
          <w:sz w:val="24"/>
        </w:rPr>
      </w:pPr>
      <w:r>
        <w:rPr>
          <w:rFonts w:hint="eastAsia" w:ascii="宋体" w:hAnsi="宋体" w:cs="宋体"/>
          <w:b/>
          <w:bCs/>
          <w:color w:val="auto"/>
          <w:sz w:val="24"/>
          <w:szCs w:val="24"/>
          <w:lang w:val="en-US" w:eastAsia="zh-CN" w:bidi="ar-SA"/>
        </w:rPr>
        <w:t xml:space="preserve">2.招标</w:t>
      </w:r>
      <w:r>
        <w:rPr>
          <w:rFonts w:hint="eastAsia" w:ascii="宋体" w:hAnsi="宋体" w:cs="宋体"/>
          <w:b/>
          <w:bCs/>
          <w:color w:val="auto"/>
          <w:sz w:val="24"/>
        </w:rPr>
        <w:t xml:space="preserve">代理机构信息</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名称：</w:t>
      </w:r>
      <w:r>
        <w:rPr>
          <w:rFonts w:hint="eastAsia" w:ascii="宋体" w:hAnsi="宋体" w:cs="宋体"/>
          <w:color w:val="auto"/>
          <w:sz w:val="24"/>
          <w:lang w:eastAsia="zh-CN"/>
        </w:rPr>
        <w:t xml:space="preserve">金湖易采项目管理有限公司</w:t>
      </w:r>
      <w:r>
        <w:rPr>
          <w:rFonts w:hint="eastAsia" w:ascii="宋体" w:hAnsi="宋体" w:cs="宋体"/>
          <w:color w:val="auto"/>
          <w:sz w:val="24"/>
        </w:rPr>
        <w:t xml:space="preserve"> </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地址：金湖县园林南路288号市民中心三楼北中庭业务一部</w:t>
      </w:r>
      <w:r/>
    </w:p>
    <w:p>
      <w:pPr>
        <w:ind w:firstLine="480"/>
        <w:keepNext w:val="0"/>
        <w:pageBreakBefore w:val="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联系人：</w:t>
      </w:r>
      <w:r>
        <w:rPr>
          <w:rFonts w:hint="eastAsia" w:ascii="宋体" w:hAnsi="宋体" w:cs="宋体"/>
          <w:color w:val="auto"/>
          <w:sz w:val="24"/>
          <w:lang w:val="en-US" w:eastAsia="zh-CN"/>
        </w:rPr>
        <w:t xml:space="preserve">谢工</w:t>
      </w:r>
      <w:r/>
    </w:p>
    <w:p>
      <w:pPr>
        <w:ind w:firstLine="480"/>
        <w:keepNext w:val="0"/>
        <w:pageBreakBefore w:val="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联系</w:t>
      </w:r>
      <w:r>
        <w:rPr>
          <w:rFonts w:hint="eastAsia" w:ascii="宋体" w:hAnsi="宋体" w:eastAsia="宋体" w:cs="宋体"/>
          <w:color w:val="auto"/>
          <w:sz w:val="24"/>
          <w:lang w:val="en-US" w:eastAsia="zh-CN"/>
        </w:rPr>
        <w:t xml:space="preserve">电话</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18036514638</w:t>
      </w:r>
      <w:r/>
    </w:p>
    <w:p>
      <w:pPr>
        <w:numPr>
          <w:ilvl w:val="0"/>
          <w:numId w:val="0"/>
        </w:numPr>
        <w:ind w:firstLine="482"/>
        <w:keepLines w:val="0"/>
        <w:keepNext w:val="0"/>
        <w:pageBreakBefore w:val="0"/>
        <w:spacing w:line="360" w:lineRule="auto"/>
        <w:widowControl w:val="off"/>
        <w:rPr>
          <w:rFonts w:hint="eastAsia" w:ascii="宋体" w:hAnsi="宋体" w:cs="宋体"/>
          <w:b/>
          <w:bCs/>
          <w:color w:val="auto"/>
          <w:sz w:val="24"/>
        </w:rPr>
      </w:pPr>
      <w:r>
        <w:rPr>
          <w:rFonts w:hint="eastAsia" w:ascii="宋体" w:hAnsi="宋体" w:cs="宋体"/>
          <w:b/>
          <w:bCs/>
          <w:color w:val="auto"/>
          <w:sz w:val="24"/>
          <w:lang w:val="en-US" w:eastAsia="zh-CN"/>
        </w:rPr>
        <w:t xml:space="preserve">3.</w:t>
      </w:r>
      <w:r>
        <w:rPr>
          <w:rFonts w:hint="eastAsia" w:ascii="宋体" w:hAnsi="宋体" w:cs="宋体"/>
          <w:b/>
          <w:bCs/>
          <w:color w:val="auto"/>
          <w:sz w:val="24"/>
        </w:rPr>
        <w:t xml:space="preserve">项目联系方式</w:t>
      </w:r>
      <w:r/>
    </w:p>
    <w:p>
      <w:pPr>
        <w:numPr>
          <w:ilvl w:val="0"/>
          <w:numId w:val="0"/>
        </w:numPr>
        <w:ind w:firstLine="480"/>
        <w:keepLines w:val="0"/>
        <w:keepNext w:val="0"/>
        <w:pageBreakBefore w:val="0"/>
        <w:spacing w:line="360" w:lineRule="auto"/>
        <w:widowControl w:val="off"/>
        <w:rPr>
          <w:rFonts w:hint="eastAsia" w:ascii="宋体" w:hAnsi="宋体" w:cs="宋体"/>
          <w:color w:val="auto"/>
          <w:sz w:val="24"/>
          <w:lang w:eastAsia="zh-CN"/>
        </w:rPr>
      </w:pPr>
      <w:r>
        <w:rPr>
          <w:rFonts w:hint="eastAsia" w:ascii="宋体" w:hAnsi="宋体" w:cs="宋体"/>
          <w:color w:val="auto"/>
          <w:sz w:val="24"/>
        </w:rPr>
        <w:t xml:space="preserve">联系人：</w:t>
      </w:r>
      <w:r>
        <w:rPr>
          <w:rFonts w:hint="eastAsia" w:ascii="宋体" w:hAnsi="宋体" w:cs="宋体"/>
          <w:color w:val="auto"/>
          <w:sz w:val="24"/>
          <w:lang w:val="en-US" w:eastAsia="zh-CN"/>
        </w:rPr>
        <w:t xml:space="preserve">伍</w:t>
      </w:r>
      <w:r>
        <w:rPr>
          <w:rFonts w:hint="eastAsia" w:ascii="宋体" w:hAnsi="宋体" w:cs="宋体"/>
          <w:color w:val="auto"/>
          <w:sz w:val="24"/>
          <w:lang w:eastAsia="zh-CN"/>
        </w:rPr>
        <w:t xml:space="preserve">工</w:t>
      </w:r>
      <w:r/>
    </w:p>
    <w:p>
      <w:pPr>
        <w:numPr>
          <w:ilvl w:val="0"/>
          <w:numId w:val="0"/>
        </w:numPr>
        <w:ind w:firstLine="480"/>
        <w:keepLines w:val="0"/>
        <w:keepNext w:val="0"/>
        <w:pageBreakBefore w:val="0"/>
        <w:spacing w:line="360" w:lineRule="auto"/>
        <w:widowControl w:val="off"/>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联系</w:t>
      </w:r>
      <w:r>
        <w:rPr>
          <w:rFonts w:hint="eastAsia" w:ascii="宋体" w:hAnsi="宋体" w:cs="宋体"/>
          <w:color w:val="auto"/>
          <w:sz w:val="24"/>
        </w:rPr>
        <w:t xml:space="preserve">电话：</w:t>
      </w:r>
      <w:r>
        <w:rPr>
          <w:rFonts w:hint="eastAsia" w:ascii="宋体" w:hAnsi="宋体" w:cs="宋体"/>
          <w:color w:val="auto"/>
          <w:sz w:val="24"/>
          <w:lang w:val="en-US" w:eastAsia="zh-CN"/>
        </w:rPr>
        <w:t xml:space="preserve">86986001</w:t>
      </w:r>
      <w:bookmarkEnd w:id="2"/>
      <w:r/>
      <w:bookmarkEnd w:id="3"/>
      <w:r/>
      <w:bookmarkEnd w:id="4"/>
      <w:r/>
      <w:bookmarkEnd w:id="5"/>
      <w:r/>
      <w:r/>
    </w:p>
    <w:p>
      <w:pPr>
        <w:keepNext w:val="0"/>
        <w:pageBreakBefore w:val="0"/>
        <w:spacing w:line="360" w:lineRule="auto"/>
        <w:rPr>
          <w:rFonts w:hint="eastAsia" w:ascii="宋体" w:hAnsi="宋体" w:eastAsia="宋体" w:cs="宋体"/>
          <w:b/>
          <w:bCs/>
          <w:color w:val="auto"/>
          <w:sz w:val="36"/>
          <w:szCs w:val="36"/>
        </w:rPr>
      </w:pPr>
      <w:r/>
      <w:bookmarkStart w:id="7" w:name="_Toc12470_WPSOffice_Level1"/>
      <w:r>
        <w:rPr>
          <w:rFonts w:hint="eastAsia" w:ascii="宋体" w:hAnsi="宋体" w:eastAsia="宋体" w:cs="宋体"/>
          <w:b/>
          <w:bCs/>
          <w:color w:val="auto"/>
          <w:sz w:val="36"/>
          <w:szCs w:val="36"/>
        </w:rPr>
        <w:br w:type="page" w:clear="all"/>
      </w:r>
      <w:r/>
    </w:p>
    <w:p>
      <w:pPr>
        <w:jc w:val="center"/>
        <w:keepNext w:val="0"/>
        <w:pageBreakBefore w:val="0"/>
        <w:spacing w:line="360" w:lineRule="auto"/>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第二章</w:t>
      </w:r>
      <w:r>
        <w:rPr>
          <w:rFonts w:hint="eastAsia" w:ascii="宋体" w:hAnsi="宋体" w:cs="宋体"/>
          <w:b/>
          <w:bCs/>
          <w:color w:val="auto"/>
          <w:sz w:val="36"/>
          <w:szCs w:val="36"/>
          <w:lang w:val="en-US" w:eastAsia="zh-CN"/>
        </w:rPr>
        <w:t xml:space="preserve">  </w:t>
      </w:r>
      <w:r>
        <w:rPr>
          <w:rFonts w:hint="eastAsia" w:ascii="宋体" w:hAnsi="宋体" w:cs="宋体"/>
          <w:b/>
          <w:bCs/>
          <w:color w:val="auto"/>
          <w:sz w:val="36"/>
          <w:szCs w:val="36"/>
          <w:lang w:eastAsia="zh-CN"/>
        </w:rPr>
        <w:t xml:space="preserve">投标人</w:t>
      </w:r>
      <w:r>
        <w:rPr>
          <w:rFonts w:hint="eastAsia" w:ascii="宋体" w:hAnsi="宋体" w:eastAsia="宋体" w:cs="宋体"/>
          <w:b/>
          <w:bCs/>
          <w:color w:val="auto"/>
          <w:sz w:val="36"/>
          <w:szCs w:val="36"/>
        </w:rPr>
        <w:t xml:space="preserve">须知</w:t>
      </w:r>
      <w:bookmarkEnd w:id="7"/>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一、总则</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1.适用范围</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招标文件仅适用于本次投标邀请中所述项目的采购。</w:t>
      </w:r>
      <w:r/>
    </w:p>
    <w:p>
      <w:pPr>
        <w:ind w:left="0" w:right="0"/>
        <w:keepLines w:val="0"/>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2.合格的</w:t>
      </w:r>
      <w:r>
        <w:rPr>
          <w:rFonts w:hint="eastAsia" w:ascii="宋体" w:hAnsi="宋体" w:cs="宋体"/>
          <w:bCs/>
          <w:color w:val="auto"/>
          <w:sz w:val="24"/>
          <w:szCs w:val="24"/>
          <w:lang w:eastAsia="zh-CN"/>
        </w:rPr>
        <w:t xml:space="preserve">投标人</w:t>
      </w:r>
      <w:r/>
    </w:p>
    <w:p>
      <w:pPr>
        <w:ind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2.1满足第一章投标邀请中投标人资格要求的规定。 </w:t>
      </w:r>
      <w:r/>
    </w:p>
    <w:p>
      <w:pPr>
        <w:ind w:left="0" w:right="0" w:firstLine="48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2.2</w:t>
      </w:r>
      <w:r>
        <w:rPr>
          <w:rFonts w:hint="eastAsia" w:ascii="宋体" w:hAnsi="宋体" w:eastAsia="宋体" w:cs="宋体"/>
          <w:color w:val="auto"/>
          <w:sz w:val="24"/>
          <w:szCs w:val="24"/>
        </w:rPr>
        <w:t xml:space="preserve">满足招标文件中实质性条款的规定。</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3.适用法律</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3.1《中华人民共和国政府采购法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中华人民共和国政府采购法实施条例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政府采购货物和服务招标投标管理办法》等有关法律、规章和规定等。</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4.投标费用</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4.1投标人应自行承担所有与参与投标有关的费用。不论投标的结果如何，招标人（</w:t>
      </w:r>
      <w:r>
        <w:rPr>
          <w:rFonts w:hint="eastAsia" w:ascii="宋体" w:hAnsi="宋体" w:cs="宋体"/>
          <w:color w:val="auto"/>
          <w:sz w:val="24"/>
          <w:lang w:val="en-US" w:eastAsia="zh-CN"/>
        </w:rPr>
        <w:t xml:space="preserve">代理</w:t>
      </w:r>
      <w:r>
        <w:rPr>
          <w:rFonts w:hint="eastAsia" w:ascii="宋体" w:hAnsi="宋体" w:cs="宋体"/>
          <w:color w:val="auto"/>
          <w:sz w:val="24"/>
        </w:rPr>
        <w:t xml:space="preserve">机构）在任何情况下均无义务和责任承担这些费用。</w:t>
      </w:r>
      <w:r/>
    </w:p>
    <w:p>
      <w:pPr>
        <w:ind w:firstLine="480"/>
        <w:jc w:val="left"/>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4.2招标代理（下称代理机构）：招标人委托金湖易采项目管理有限公司负责代理本项目的相关事宜。</w:t>
      </w:r>
      <w:r/>
    </w:p>
    <w:p>
      <w:pPr>
        <w:ind w:firstLine="480"/>
        <w:jc w:val="left"/>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4.3招标代理费：</w:t>
      </w:r>
      <w:r>
        <w:rPr>
          <w:rFonts w:hint="eastAsia" w:ascii="宋体" w:hAnsi="宋体" w:cs="宋体"/>
          <w:color w:val="auto"/>
          <w:sz w:val="24"/>
          <w:highlight w:val="none"/>
          <w:lang w:val="zh-CN" w:eastAsia="zh-CN"/>
        </w:rPr>
        <w:t xml:space="preserve">参照苏招协[2022]002号文件规定标准的</w:t>
      </w:r>
      <w:r>
        <w:rPr>
          <w:rFonts w:hint="eastAsia" w:ascii="宋体" w:hAnsi="宋体" w:cs="宋体"/>
          <w:color w:val="auto"/>
          <w:sz w:val="24"/>
          <w:highlight w:val="none"/>
          <w:lang w:val="en-US" w:eastAsia="zh-CN"/>
        </w:rPr>
        <w:t xml:space="preserve">85</w:t>
      </w:r>
      <w:r>
        <w:rPr>
          <w:rFonts w:hint="eastAsia" w:ascii="宋体" w:hAnsi="宋体" w:cs="宋体"/>
          <w:color w:val="auto"/>
          <w:sz w:val="24"/>
          <w:highlight w:val="none"/>
          <w:lang w:val="zh-CN" w:eastAsia="zh-CN"/>
        </w:rPr>
        <w:t xml:space="preserve">%为此次项目的招标代理费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eastAsia="zh-CN"/>
        </w:rPr>
        <w:t xml:space="preserve">应在中标通知书发放后</w:t>
      </w:r>
      <w:r>
        <w:rPr>
          <w:rFonts w:hint="eastAsia" w:ascii="宋体" w:hAnsi="宋体" w:cs="宋体"/>
          <w:color w:val="auto"/>
          <w:sz w:val="24"/>
          <w:highlight w:val="none"/>
          <w:lang w:val="en-US" w:eastAsia="zh-CN"/>
        </w:rPr>
        <w:t xml:space="preserve">五个工作日内</w:t>
      </w:r>
      <w:r>
        <w:rPr>
          <w:rFonts w:hint="eastAsia" w:ascii="宋体" w:hAnsi="宋体" w:cs="宋体"/>
          <w:color w:val="auto"/>
          <w:sz w:val="24"/>
          <w:highlight w:val="none"/>
          <w:lang w:eastAsia="zh-CN"/>
        </w:rPr>
        <w:t xml:space="preserve">向</w:t>
      </w:r>
      <w:r>
        <w:rPr>
          <w:rFonts w:hint="eastAsia" w:ascii="宋体" w:hAnsi="宋体" w:cs="宋体"/>
          <w:color w:val="auto"/>
          <w:sz w:val="24"/>
          <w:highlight w:val="none"/>
        </w:rPr>
        <w:t xml:space="preserve">招标代理</w:t>
      </w:r>
      <w:r>
        <w:rPr>
          <w:rFonts w:hint="eastAsia" w:ascii="宋体" w:hAnsi="宋体" w:cs="宋体"/>
          <w:color w:val="auto"/>
          <w:sz w:val="24"/>
          <w:highlight w:val="none"/>
          <w:lang w:eastAsia="zh-CN"/>
        </w:rPr>
        <w:t xml:space="preserve">一次性缴纳</w:t>
      </w:r>
      <w:r>
        <w:rPr>
          <w:rFonts w:hint="eastAsia" w:ascii="宋体" w:hAnsi="宋体" w:cs="宋体"/>
          <w:color w:val="auto"/>
          <w:sz w:val="24"/>
          <w:highlight w:val="none"/>
        </w:rPr>
        <w:t xml:space="preserve">招标代理费</w:t>
      </w:r>
      <w:r>
        <w:rPr>
          <w:rFonts w:hint="eastAsia" w:ascii="宋体" w:hAnsi="宋体" w:cs="宋体"/>
          <w:color w:val="auto"/>
          <w:sz w:val="24"/>
          <w:highlight w:val="none"/>
          <w:lang w:eastAsia="zh-CN"/>
        </w:rPr>
        <w:t xml:space="preserve">。此费用包含在投标报价中，不单独列项。</w:t>
      </w:r>
      <w:r/>
    </w:p>
    <w:p>
      <w:pPr>
        <w:ind w:firstLine="482"/>
        <w:jc w:val="left"/>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szCs w:val="24"/>
          <w:highlight w:val="none"/>
          <w:lang w:eastAsia="zh-CN"/>
        </w:rPr>
        <w:t xml:space="preserve">注</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根据《关于在全市公共资源交易领域全面推广应用数字人民币的通知》</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淮协调办〔2023〕33号</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要求，本项目代理费支付形式建议采用数字人民币支付：</w:t>
      </w:r>
      <w:r>
        <w:rPr>
          <w:rFonts w:hint="eastAsia" w:cs="宋体"/>
          <w:b/>
          <w:bCs/>
          <w:color w:val="auto"/>
          <w:sz w:val="24"/>
          <w:szCs w:val="24"/>
          <w:highlight w:val="none"/>
          <w:lang w:eastAsia="zh-CN"/>
        </w:rPr>
        <w:t xml:space="preserve">招标人</w:t>
      </w:r>
      <w:r>
        <w:rPr>
          <w:rFonts w:hint="eastAsia" w:ascii="宋体" w:hAnsi="宋体" w:cs="宋体"/>
          <w:b/>
          <w:bCs/>
          <w:color w:val="auto"/>
          <w:sz w:val="24"/>
          <w:szCs w:val="24"/>
          <w:highlight w:val="none"/>
          <w:lang w:eastAsia="zh-CN"/>
        </w:rPr>
        <w:t xml:space="preserve">（</w:t>
      </w:r>
      <w:r>
        <w:rPr>
          <w:rFonts w:hint="eastAsia" w:cs="宋体"/>
          <w:b/>
          <w:bCs/>
          <w:color w:val="auto"/>
          <w:sz w:val="24"/>
          <w:szCs w:val="24"/>
          <w:highlight w:val="none"/>
          <w:lang w:eastAsia="zh-CN"/>
        </w:rPr>
        <w:t xml:space="preserve">中标人</w:t>
      </w:r>
      <w:r>
        <w:rPr>
          <w:rFonts w:hint="eastAsia" w:ascii="宋体" w:hAnsi="宋体" w:cs="宋体"/>
          <w:b/>
          <w:bCs/>
          <w:color w:val="auto"/>
          <w:sz w:val="24"/>
          <w:szCs w:val="24"/>
          <w:highlight w:val="none"/>
          <w:lang w:eastAsia="zh-CN"/>
        </w:rPr>
        <w:t xml:space="preserve">）须在</w:t>
      </w:r>
      <w:r>
        <w:rPr>
          <w:rFonts w:hint="eastAsia" w:cs="宋体"/>
          <w:b/>
          <w:bCs/>
          <w:color w:val="auto"/>
          <w:sz w:val="24"/>
          <w:szCs w:val="24"/>
          <w:highlight w:val="none"/>
          <w:lang w:eastAsia="zh-CN"/>
        </w:rPr>
        <w:t xml:space="preserve">基本账户</w:t>
      </w:r>
      <w:r>
        <w:rPr>
          <w:rFonts w:hint="eastAsia" w:ascii="宋体" w:hAnsi="宋体" w:cs="宋体"/>
          <w:b/>
          <w:bCs/>
          <w:color w:val="auto"/>
          <w:sz w:val="24"/>
          <w:szCs w:val="24"/>
          <w:highlight w:val="none"/>
          <w:lang w:eastAsia="zh-CN"/>
        </w:rPr>
        <w:t xml:space="preserve">下</w:t>
      </w:r>
      <w:r>
        <w:rPr>
          <w:rFonts w:hint="eastAsia" w:cs="宋体"/>
          <w:b/>
          <w:bCs/>
          <w:color w:val="auto"/>
          <w:sz w:val="24"/>
          <w:szCs w:val="24"/>
          <w:highlight w:val="none"/>
          <w:lang w:eastAsia="zh-CN"/>
        </w:rPr>
        <w:t xml:space="preserve">开通数字人民币</w:t>
      </w:r>
      <w:r>
        <w:rPr>
          <w:rFonts w:hint="eastAsia" w:ascii="宋体" w:hAnsi="宋体" w:cs="宋体"/>
          <w:b/>
          <w:bCs/>
          <w:color w:val="auto"/>
          <w:sz w:val="24"/>
          <w:szCs w:val="24"/>
          <w:highlight w:val="none"/>
          <w:lang w:eastAsia="zh-CN"/>
        </w:rPr>
        <w:t xml:space="preserve">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向代理机构数字人民币钱包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支付项目代理费。</w:t>
      </w:r>
      <w:r/>
    </w:p>
    <w:p>
      <w:pPr>
        <w:ind w:left="0" w:right="0"/>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二、</w:t>
      </w:r>
      <w:r>
        <w:rPr>
          <w:rFonts w:hint="eastAsia" w:ascii="宋体" w:hAnsi="宋体" w:cs="宋体"/>
          <w:b/>
          <w:bCs/>
          <w:color w:val="auto"/>
          <w:sz w:val="24"/>
          <w:szCs w:val="24"/>
          <w:lang w:eastAsia="zh-CN"/>
        </w:rPr>
        <w:t xml:space="preserve">招标文件</w:t>
      </w:r>
      <w:r/>
    </w:p>
    <w:p>
      <w:pPr>
        <w:ind w:left="0" w:right="0"/>
        <w:keepLines w:val="0"/>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5.</w:t>
      </w:r>
      <w:r>
        <w:rPr>
          <w:rFonts w:hint="eastAsia" w:ascii="宋体" w:hAnsi="宋体" w:cs="宋体"/>
          <w:bCs/>
          <w:color w:val="auto"/>
          <w:sz w:val="24"/>
          <w:szCs w:val="24"/>
          <w:lang w:eastAsia="zh-CN"/>
        </w:rPr>
        <w:t xml:space="preserve">招标文件</w:t>
      </w:r>
      <w:r>
        <w:rPr>
          <w:rFonts w:hint="eastAsia" w:ascii="宋体" w:hAnsi="宋体" w:eastAsia="宋体" w:cs="宋体"/>
          <w:bCs/>
          <w:color w:val="auto"/>
          <w:sz w:val="24"/>
          <w:szCs w:val="24"/>
        </w:rPr>
        <w:t xml:space="preserve">由以下部分组成</w:t>
      </w:r>
      <w:r>
        <w:rPr>
          <w:rFonts w:hint="eastAsia" w:ascii="宋体" w:hAnsi="宋体" w:cs="宋体"/>
          <w:color w:val="auto"/>
          <w:sz w:val="24"/>
          <w:szCs w:val="24"/>
          <w:lang w:eastAsia="zh-CN"/>
        </w:rPr>
        <w:t xml:space="preserve">：</w:t>
      </w:r>
      <w:r/>
    </w:p>
    <w:p>
      <w:pPr>
        <w:ind w:left="0" w:right="0" w:firstLine="555"/>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5.招标文件由以下部分组成</w:t>
      </w:r>
      <w:r>
        <w:rPr>
          <w:rFonts w:hint="eastAsia" w:ascii="宋体" w:hAnsi="宋体" w:cs="宋体"/>
          <w:color w:val="auto"/>
          <w:sz w:val="24"/>
          <w:szCs w:val="24"/>
          <w:lang w:eastAsia="zh-CN"/>
        </w:rPr>
        <w:t xml:space="preserve">：</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5.1投标邀请</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5.2投标人须知</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5.3评标标准</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5.4合同格式及条款</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5.5项目采购需求</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5.6投标文件格式</w:t>
      </w:r>
      <w:r/>
    </w:p>
    <w:p>
      <w:pPr>
        <w:ind w:left="0" w:right="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rPr>
        <w:t xml:space="preserve">6.</w:t>
      </w:r>
      <w:r>
        <w:rPr>
          <w:rFonts w:hint="eastAsia" w:ascii="宋体" w:hAnsi="宋体" w:cs="宋体"/>
          <w:bCs/>
          <w:color w:val="auto"/>
          <w:sz w:val="24"/>
          <w:szCs w:val="24"/>
          <w:lang w:eastAsia="zh-CN"/>
        </w:rPr>
        <w:t xml:space="preserve">招标文件</w:t>
      </w:r>
      <w:r>
        <w:rPr>
          <w:rFonts w:hint="eastAsia" w:ascii="宋体" w:hAnsi="宋体" w:eastAsia="宋体" w:cs="宋体"/>
          <w:bCs/>
          <w:color w:val="auto"/>
          <w:sz w:val="24"/>
          <w:szCs w:val="24"/>
        </w:rPr>
        <w:t xml:space="preserve">的澄清</w:t>
      </w:r>
      <w:r/>
    </w:p>
    <w:p>
      <w:pPr>
        <w:ind w:left="0" w:right="0" w:firstLine="46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任何要求对招标文件进行澄清的投标人，应在投标截止期十日前按招标公告中的通讯地址，以书面形式通知</w:t>
      </w:r>
      <w:r>
        <w:rPr>
          <w:rFonts w:hint="eastAsia" w:ascii="宋体" w:hAnsi="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（代理机构）</w:t>
      </w:r>
      <w:r>
        <w:rPr>
          <w:rFonts w:hint="eastAsia" w:ascii="宋体" w:hAnsi="宋体" w:cs="宋体"/>
          <w:bCs/>
          <w:color w:val="auto"/>
          <w:sz w:val="24"/>
          <w:highlight w:val="none"/>
        </w:rPr>
        <w:t xml:space="preserve">。</w:t>
      </w:r>
      <w:r/>
    </w:p>
    <w:p>
      <w:pPr>
        <w:ind w:left="0" w:right="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bCs/>
          <w:color w:val="auto"/>
          <w:sz w:val="24"/>
          <w:szCs w:val="24"/>
        </w:rPr>
        <w:t xml:space="preserve">7.</w:t>
      </w:r>
      <w:r>
        <w:rPr>
          <w:rFonts w:hint="eastAsia" w:ascii="宋体" w:hAnsi="宋体" w:cs="宋体"/>
          <w:bCs/>
          <w:color w:val="auto"/>
          <w:sz w:val="24"/>
          <w:szCs w:val="24"/>
          <w:lang w:eastAsia="zh-CN"/>
        </w:rPr>
        <w:t xml:space="preserve">招标文件</w:t>
      </w:r>
      <w:r>
        <w:rPr>
          <w:rFonts w:hint="eastAsia" w:ascii="宋体" w:hAnsi="宋体" w:eastAsia="宋体" w:cs="宋体"/>
          <w:bCs/>
          <w:color w:val="auto"/>
          <w:sz w:val="24"/>
          <w:szCs w:val="24"/>
        </w:rPr>
        <w:t xml:space="preserve">的更正或补充</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 在投标截止时间前，招标人（代理机构）可主动或在解答投标人提出的澄清问题时对招标文件用更正公告的方式进行</w:t>
      </w:r>
      <w:r>
        <w:rPr>
          <w:rFonts w:hint="eastAsia" w:ascii="宋体" w:hAnsi="宋体" w:cs="宋体"/>
          <w:color w:val="auto"/>
          <w:sz w:val="24"/>
          <w:szCs w:val="24"/>
          <w:lang w:eastAsia="zh-CN"/>
        </w:rPr>
        <w:t xml:space="preserve">修改</w:t>
      </w:r>
      <w:r>
        <w:rPr>
          <w:rFonts w:hint="eastAsia" w:ascii="宋体" w:hAnsi="宋体" w:eastAsia="宋体" w:cs="宋体"/>
          <w:color w:val="auto"/>
          <w:sz w:val="24"/>
          <w:szCs w:val="24"/>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7.2对招标文件的更正将在江苏政府采购网、淮安市政府采购网进行公告。更正公告将作为招标文件的组成部分，对所有参加本次投标的投标人都具有约束力。</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7.3为使投标人有足够的时间按招标文件的更正要求</w:t>
      </w:r>
      <w:r>
        <w:rPr>
          <w:rFonts w:hint="eastAsia" w:ascii="宋体" w:hAnsi="宋体" w:cs="宋体"/>
          <w:color w:val="auto"/>
          <w:sz w:val="24"/>
          <w:szCs w:val="24"/>
          <w:lang w:eastAsia="zh-CN"/>
        </w:rPr>
        <w:t xml:space="preserve">修改</w:t>
      </w:r>
      <w:r>
        <w:rPr>
          <w:rFonts w:hint="eastAsia" w:ascii="宋体" w:hAnsi="宋体" w:eastAsia="宋体" w:cs="宋体"/>
          <w:color w:val="auto"/>
          <w:sz w:val="24"/>
          <w:szCs w:val="24"/>
        </w:rPr>
        <w:t xml:space="preserve">投标文件，招标人（代理机构）有权按照相关法定的要求推迟投标截止时间和开标日期。</w:t>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w:t>
      </w:r>
      <w:r>
        <w:rPr>
          <w:rFonts w:hint="eastAsia" w:ascii="宋体" w:hAnsi="宋体" w:cs="宋体"/>
          <w:b/>
          <w:bCs/>
          <w:color w:val="auto"/>
          <w:sz w:val="24"/>
          <w:szCs w:val="24"/>
          <w:lang w:eastAsia="zh-CN"/>
        </w:rPr>
        <w:t xml:space="preserve">投标文件</w:t>
      </w:r>
      <w:r>
        <w:rPr>
          <w:rFonts w:hint="eastAsia" w:ascii="宋体" w:hAnsi="宋体" w:eastAsia="宋体" w:cs="宋体"/>
          <w:b/>
          <w:bCs/>
          <w:color w:val="auto"/>
          <w:sz w:val="24"/>
          <w:szCs w:val="24"/>
        </w:rPr>
        <w:t xml:space="preserve">的编制</w:t>
      </w:r>
      <w:r/>
    </w:p>
    <w:p>
      <w:pPr>
        <w:ind w:left="0" w:right="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rPr>
          <w:rFonts w:hint="eastAsia" w:ascii="宋体" w:hAnsi="宋体" w:cs="宋体"/>
          <w:bCs/>
          <w:color w:val="auto"/>
          <w:sz w:val="24"/>
          <w:szCs w:val="24"/>
          <w:lang w:eastAsia="zh-CN"/>
        </w:rPr>
        <w:t xml:space="preserve">投标文件</w:t>
      </w:r>
      <w:r>
        <w:rPr>
          <w:rFonts w:hint="eastAsia" w:ascii="宋体" w:hAnsi="宋体" w:eastAsia="宋体" w:cs="宋体"/>
          <w:bCs/>
          <w:color w:val="auto"/>
          <w:sz w:val="24"/>
          <w:szCs w:val="24"/>
        </w:rPr>
        <w:t xml:space="preserve">的编制</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8.1投标人编写的投标文件应按招标文件第六章“投标文件格式”中的要求进行编写。</w:t>
      </w:r>
      <w:r/>
    </w:p>
    <w:p>
      <w:pPr>
        <w:ind w:firstLine="480"/>
        <w:keepNext w:val="0"/>
        <w:pageBreakBefore w:val="0"/>
        <w:spacing w:line="360" w:lineRule="auto"/>
        <w:rPr>
          <w:rFonts w:hint="eastAsia" w:ascii="宋体" w:hAnsi="宋体" w:eastAsia="宋体" w:cs="宋体"/>
          <w:b w:val="0"/>
          <w:bCs w:val="0"/>
          <w:color w:val="auto"/>
          <w:sz w:val="24"/>
          <w:highlight w:val="none"/>
        </w:rPr>
      </w:pPr>
      <w:r>
        <w:rPr>
          <w:rFonts w:hint="eastAsia" w:ascii="宋体" w:hAnsi="宋体" w:cs="宋体"/>
          <w:bCs/>
          <w:color w:val="auto"/>
          <w:sz w:val="24"/>
          <w:highlight w:val="none"/>
        </w:rPr>
        <w:t xml:space="preserve">8.2</w:t>
      </w:r>
      <w:r>
        <w:rPr>
          <w:rFonts w:hint="eastAsia" w:ascii="宋体" w:hAnsi="宋体"/>
          <w:color w:val="auto"/>
          <w:sz w:val="24"/>
          <w:szCs w:val="21"/>
          <w:highlight w:val="none"/>
        </w:rPr>
        <w:t xml:space="preserve">投标人编写的投标文件应包括资格证明文件、符合性证明文件、</w:t>
      </w:r>
      <w:r>
        <w:rPr>
          <w:rFonts w:hint="eastAsia" w:ascii="宋体" w:hAnsi="宋体"/>
          <w:color w:val="auto"/>
          <w:sz w:val="24"/>
          <w:szCs w:val="21"/>
          <w:highlight w:val="none"/>
          <w:lang w:val="en-US" w:eastAsia="zh-CN"/>
        </w:rPr>
        <w:t xml:space="preserve">投标报价明细表</w:t>
      </w:r>
      <w:r>
        <w:rPr>
          <w:rFonts w:hint="eastAsia" w:ascii="宋体" w:hAnsi="宋体"/>
          <w:color w:val="auto"/>
          <w:sz w:val="24"/>
          <w:szCs w:val="21"/>
          <w:highlight w:val="none"/>
        </w:rPr>
        <w:t xml:space="preserve">、技术</w:t>
      </w:r>
      <w:r>
        <w:rPr>
          <w:rFonts w:hint="eastAsia" w:ascii="宋体" w:hAnsi="宋体"/>
          <w:color w:val="auto"/>
          <w:sz w:val="24"/>
          <w:szCs w:val="21"/>
          <w:highlight w:val="none"/>
          <w:lang w:eastAsia="zh-CN"/>
        </w:rPr>
        <w:t xml:space="preserve">规格</w:t>
      </w:r>
      <w:r>
        <w:rPr>
          <w:rFonts w:hint="eastAsia" w:ascii="宋体" w:hAnsi="宋体"/>
          <w:color w:val="auto"/>
          <w:sz w:val="24"/>
          <w:szCs w:val="21"/>
          <w:highlight w:val="none"/>
        </w:rPr>
        <w:t xml:space="preserve">响应及偏离表、其他证明文件、投标函、开标一览表等部分。</w:t>
      </w:r>
      <w:r/>
    </w:p>
    <w:p>
      <w:pPr>
        <w:ind w:left="0" w:right="0" w:firstLine="482"/>
        <w:keepLines w:val="0"/>
        <w:keepNext w:val="0"/>
        <w:pageBreakBefore w:val="0"/>
        <w:spacing w:line="360" w:lineRule="auto"/>
        <w:rPr>
          <w:rFonts w:hint="eastAsia" w:ascii="宋体" w:hAnsi="宋体" w:eastAsia="宋体" w:cs="宋体"/>
          <w:b/>
          <w:bCs/>
          <w:color w:val="auto"/>
          <w:sz w:val="24"/>
          <w:highlight w:val="yellow"/>
          <w:lang w:val="en-US" w:eastAsia="zh-CN"/>
        </w:rPr>
      </w:pPr>
      <w:r>
        <w:rPr>
          <w:rFonts w:hint="eastAsia" w:ascii="宋体" w:hAnsi="宋体" w:eastAsia="宋体" w:cs="宋体"/>
          <w:b/>
          <w:bCs/>
          <w:color w:val="auto"/>
          <w:sz w:val="24"/>
          <w:highlight w:val="none"/>
          <w:lang w:val="en-US" w:eastAsia="zh-CN"/>
        </w:rPr>
        <w:t xml:space="preserve">8.3如标书制作工具中格式和内容与</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淮安市政府采购网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江苏政府采购网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发布的招标文件不一致，请以</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淮安市政府采购网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江苏政府采购网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发布的招标文件为准。</w:t>
      </w:r>
      <w:r/>
    </w:p>
    <w:p>
      <w:pPr>
        <w:ind w:left="0" w:right="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9.开标一览表</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9.1</w:t>
      </w:r>
      <w:r>
        <w:rPr>
          <w:rFonts w:hint="eastAsia" w:ascii="宋体" w:hAnsi="宋体" w:eastAsia="宋体" w:cs="宋体"/>
          <w:color w:val="auto"/>
          <w:sz w:val="24"/>
          <w:szCs w:val="24"/>
          <w:highlight w:val="none"/>
        </w:rPr>
        <w:t xml:space="preserve">投标人应按照招标文件中提供的格式完整、正确填写投标函、开标一览表。</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9.2</w:t>
      </w:r>
      <w:r>
        <w:rPr>
          <w:rFonts w:hint="eastAsia" w:ascii="宋体" w:hAnsi="宋体" w:eastAsia="宋体" w:cs="宋体"/>
          <w:color w:val="auto"/>
          <w:sz w:val="24"/>
          <w:szCs w:val="24"/>
          <w:highlight w:val="none"/>
        </w:rPr>
        <w:t xml:space="preserve">对于采用货币报价的项目，开标一览表中的投标总报价应与</w:t>
      </w:r>
      <w:r>
        <w:rPr>
          <w:rFonts w:hint="eastAsia" w:ascii="宋体" w:hAnsi="宋体"/>
          <w:color w:val="auto"/>
          <w:sz w:val="24"/>
          <w:szCs w:val="21"/>
          <w:highlight w:val="none"/>
          <w:lang w:val="en-US" w:eastAsia="zh-CN"/>
        </w:rPr>
        <w:t xml:space="preserve">投标报价明细表</w:t>
      </w:r>
      <w:r>
        <w:rPr>
          <w:rFonts w:hint="eastAsia" w:ascii="宋体" w:hAnsi="宋体" w:eastAsia="宋体" w:cs="宋体"/>
          <w:color w:val="auto"/>
          <w:sz w:val="24"/>
          <w:szCs w:val="24"/>
          <w:highlight w:val="none"/>
        </w:rPr>
        <w:t xml:space="preserve">中的投标总报价一致，如不一致，不作为无效投标处理，但评标时按开标一览表中</w:t>
      </w:r>
      <w:r>
        <w:rPr>
          <w:rFonts w:hint="eastAsia" w:ascii="宋体" w:hAnsi="宋体" w:eastAsia="宋体" w:cs="宋体"/>
          <w:color w:val="auto"/>
          <w:sz w:val="24"/>
          <w:szCs w:val="24"/>
          <w:highlight w:val="none"/>
          <w:lang w:eastAsia="zh-CN"/>
        </w:rPr>
        <w:t xml:space="preserve">价格</w:t>
      </w:r>
      <w:r>
        <w:rPr>
          <w:rFonts w:hint="eastAsia" w:ascii="宋体" w:hAnsi="宋体" w:eastAsia="宋体" w:cs="宋体"/>
          <w:color w:val="auto"/>
          <w:sz w:val="24"/>
          <w:szCs w:val="24"/>
          <w:highlight w:val="none"/>
        </w:rPr>
        <w:t xml:space="preserve">。</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10.投标报价</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10.1报价为一次报价，于开标会议当场公布。</w:t>
      </w:r>
      <w:r/>
    </w:p>
    <w:p>
      <w:pPr>
        <w:ind w:left="0" w:right="0" w:firstLine="480"/>
        <w:keepLines w:val="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10.2</w:t>
      </w:r>
      <w:r>
        <w:rPr>
          <w:rFonts w:hint="eastAsia" w:ascii="宋体" w:hAnsi="宋体" w:eastAsia="宋体" w:cs="宋体"/>
          <w:color w:val="auto"/>
          <w:sz w:val="24"/>
          <w:szCs w:val="24"/>
        </w:rPr>
        <w:t xml:space="preserve">本项目不接受备选的投标方案或有选择的报价，只允许有一个报价。投标报价应是</w:t>
      </w:r>
      <w:r>
        <w:rPr>
          <w:rFonts w:hint="eastAsia" w:ascii="宋体" w:hAnsi="宋体" w:eastAsia="宋体" w:cs="宋体"/>
          <w:color w:val="auto"/>
          <w:sz w:val="24"/>
          <w:szCs w:val="24"/>
          <w:lang w:eastAsia="zh-CN"/>
        </w:rPr>
        <w:t xml:space="preserve">招标文件</w:t>
      </w:r>
      <w:r>
        <w:rPr>
          <w:rFonts w:hint="eastAsia" w:ascii="宋体" w:hAnsi="宋体" w:eastAsia="宋体" w:cs="宋体"/>
          <w:color w:val="auto"/>
          <w:sz w:val="24"/>
          <w:szCs w:val="24"/>
        </w:rPr>
        <w:t xml:space="preserve">所确定发包范围内的全部内容的价格体现。投标全费用综合单价应包括</w:t>
      </w:r>
      <w:r>
        <w:rPr>
          <w:rFonts w:hint="eastAsia" w:ascii="宋体" w:hAnsi="宋体" w:eastAsia="宋体" w:cs="宋体"/>
          <w:color w:val="auto"/>
          <w:sz w:val="24"/>
          <w:szCs w:val="24"/>
          <w:lang w:eastAsia="zh-CN"/>
        </w:rPr>
        <w:t xml:space="preserve">招标文件</w:t>
      </w:r>
      <w:r>
        <w:rPr>
          <w:rFonts w:hint="eastAsia" w:ascii="宋体" w:hAnsi="宋体" w:eastAsia="宋体" w:cs="宋体"/>
          <w:color w:val="auto"/>
          <w:sz w:val="24"/>
          <w:szCs w:val="24"/>
        </w:rPr>
        <w:t xml:space="preserve">所确定的发包范围内的全部内容以及为完成上述内容所必须的货物、材料、劳务、机械、设备、生产制造、采购、管理、运输、装卸、材料设备自检、缺陷修补、利润、税金、政策性文件规定、市场风险以及合同明示或暗示的所有责任、义务和一般风险等所需的全部费用，还包括为完成本项目可能发生的和投标人认为需要的一切费用。</w:t>
      </w:r>
      <w:r/>
    </w:p>
    <w:p>
      <w:pPr>
        <w:ind w:left="0" w:right="0" w:firstLine="480"/>
        <w:keepLines w:val="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10.3</w:t>
      </w:r>
      <w:r>
        <w:rPr>
          <w:rFonts w:hint="eastAsia" w:ascii="宋体" w:hAnsi="宋体" w:cs="宋体"/>
          <w:color w:val="auto"/>
          <w:sz w:val="24"/>
          <w:szCs w:val="24"/>
          <w:lang w:eastAsia="zh-CN"/>
        </w:rPr>
        <w:t xml:space="preserve">投标人的任何错漏、优惠、竞争性报价不得作为减轻责任、减少服务、增加收费、降低质量的理由。</w:t>
      </w:r>
      <w:r/>
    </w:p>
    <w:p>
      <w:pPr>
        <w:ind w:left="0" w:right="0" w:firstLine="480"/>
        <w:keepLines w:val="0"/>
        <w:keepNext w:val="0"/>
        <w:pageBreakBefore w:val="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10.4.报价注意事项：</w:t>
      </w:r>
      <w:r/>
    </w:p>
    <w:p>
      <w:pPr>
        <w:ind w:left="0" w:right="0" w:firstLine="480"/>
        <w:keepLines w:val="0"/>
        <w:keepNext w:val="0"/>
        <w:pageBreakBefore w:val="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10.4.1</w:t>
      </w:r>
      <w:r>
        <w:rPr>
          <w:rFonts w:hint="eastAsia" w:ascii="宋体" w:hAnsi="宋体" w:cs="宋体"/>
          <w:color w:val="auto"/>
          <w:sz w:val="24"/>
          <w:szCs w:val="24"/>
          <w:highlight w:val="none"/>
          <w:lang w:val="en-US" w:eastAsia="zh-CN"/>
        </w:rPr>
        <w:t xml:space="preserve">投标货币。投标文件中的单价和总价无特殊规定的采用人民币报价，以元为单位标注。招标文件中另有规定的按规定执行。</w:t>
      </w:r>
      <w:r/>
    </w:p>
    <w:p>
      <w:pPr>
        <w:ind w:left="0" w:right="0" w:firstLine="480"/>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10.4.2投标人报价时应充分考虑所有可能影响到报价的因素，一旦评标结束最终中标，如发生漏、缺、少项，都将被认为是中标人的报价让利行为，损失自负。</w:t>
      </w:r>
      <w:r/>
    </w:p>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11.</w:t>
      </w:r>
      <w:r>
        <w:rPr>
          <w:rFonts w:hint="eastAsia" w:ascii="宋体" w:hAnsi="宋体"/>
          <w:color w:val="auto"/>
          <w:sz w:val="24"/>
          <w:szCs w:val="21"/>
          <w:highlight w:val="none"/>
        </w:rPr>
        <w:t xml:space="preserve">技术</w:t>
      </w:r>
      <w:r>
        <w:rPr>
          <w:rFonts w:hint="eastAsia" w:ascii="宋体" w:hAnsi="宋体"/>
          <w:color w:val="auto"/>
          <w:sz w:val="24"/>
          <w:szCs w:val="21"/>
          <w:highlight w:val="none"/>
          <w:lang w:eastAsia="zh-CN"/>
        </w:rPr>
        <w:t xml:space="preserve">规格</w:t>
      </w:r>
      <w:r>
        <w:rPr>
          <w:rFonts w:hint="eastAsia" w:ascii="宋体" w:hAnsi="宋体"/>
          <w:color w:val="auto"/>
          <w:sz w:val="24"/>
          <w:szCs w:val="21"/>
          <w:highlight w:val="none"/>
        </w:rPr>
        <w:t xml:space="preserve">响应及偏离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11.1投标人需对招标文件中的技术要求逐项作出响应或偏离，并说明原因。</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11.2投标人可在投标文件中提供认为需要的其他技术文件或说明。</w:t>
      </w:r>
      <w:r/>
    </w:p>
    <w:p>
      <w:pPr>
        <w:ind w:left="0" w:right="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12</w:t>
      </w:r>
      <w:r>
        <w:rPr>
          <w:rFonts w:hint="eastAsia" w:ascii="宋体" w:hAnsi="宋体" w:eastAsia="宋体" w:cs="宋体"/>
          <w:color w:val="auto"/>
          <w:sz w:val="24"/>
        </w:rPr>
        <w:t xml:space="preserve">.服务承诺</w:t>
      </w:r>
      <w:r/>
    </w:p>
    <w:p>
      <w:pPr>
        <w:ind w:left="0" w:right="0" w:firstLine="480"/>
        <w:keepLines w:val="0"/>
        <w:keepNext w:val="0"/>
        <w:pageBreakBefore w:val="0"/>
        <w:spacing w:line="360" w:lineRule="auto"/>
        <w:rPr>
          <w:rFonts w:hint="eastAsia" w:ascii="宋体" w:hAnsi="宋体" w:eastAsia="宋体" w:cs="宋体"/>
          <w:color w:val="auto"/>
          <w:sz w:val="24"/>
          <w:highlight w:val="yellow"/>
        </w:rPr>
      </w:pPr>
      <w:r>
        <w:rPr>
          <w:rFonts w:hint="eastAsia" w:ascii="宋体" w:hAnsi="宋体" w:cs="宋体"/>
          <w:color w:val="auto"/>
          <w:sz w:val="24"/>
          <w:lang w:val="en-US" w:eastAsia="zh-CN"/>
        </w:rPr>
        <w:t xml:space="preserve">12.1</w:t>
      </w:r>
      <w:r>
        <w:rPr>
          <w:rFonts w:hint="eastAsia" w:ascii="宋体" w:hAnsi="宋体" w:eastAsia="宋体" w:cs="宋体"/>
          <w:color w:val="auto"/>
          <w:sz w:val="24"/>
        </w:rPr>
        <w:t xml:space="preserve">投标人的服务承诺应按不低于招标文件中服务要求的标准。</w:t>
      </w:r>
      <w:r/>
    </w:p>
    <w:p>
      <w:pPr>
        <w:ind w:left="0" w:right="0"/>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.投标保证金</w:t>
      </w:r>
      <w:r/>
    </w:p>
    <w:p>
      <w:pPr>
        <w:ind w:left="0" w:right="0" w:firstLine="482"/>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.1本项目无需投标保证金。</w:t>
      </w:r>
      <w:r/>
    </w:p>
    <w:p>
      <w:pPr>
        <w:ind w:left="0" w:right="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.投标有效期</w:t>
      </w:r>
      <w:r/>
    </w:p>
    <w:p>
      <w:pPr>
        <w:ind w:right="0" w:firstLine="48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highlight w:val="none"/>
        </w:rPr>
        <w:t xml:space="preserve">投标有效期为规定的开标之日后</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0）天。投标有效期比规定短的将被视为未实质性响应招标文件而予以拒绝。</w:t>
      </w:r>
      <w:r/>
    </w:p>
    <w:p>
      <w:pPr>
        <w:ind w:left="0" w:right="0" w:firstLine="54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.2在特殊情况下，</w:t>
      </w:r>
      <w:r>
        <w:rPr>
          <w:rFonts w:hint="eastAsia" w:ascii="宋体" w:hAnsi="宋体" w:cs="宋体"/>
          <w:bCs/>
          <w:color w:val="auto"/>
          <w:sz w:val="24"/>
          <w:szCs w:val="24"/>
          <w:lang w:eastAsia="zh-CN"/>
        </w:rPr>
        <w:t xml:space="preserve">招标人（代理机构）</w:t>
      </w:r>
      <w:r>
        <w:rPr>
          <w:rFonts w:hint="eastAsia" w:ascii="宋体" w:hAnsi="宋体" w:eastAsia="宋体" w:cs="宋体"/>
          <w:bCs/>
          <w:color w:val="auto"/>
          <w:sz w:val="24"/>
          <w:szCs w:val="24"/>
        </w:rPr>
        <w:t xml:space="preserve">于原投标有效期满之前，可向投标人提出延长投标有效期的要求。这种要求与答复均应采用书面形式。投标人可以拒绝</w:t>
      </w:r>
      <w:r>
        <w:rPr>
          <w:rFonts w:hint="eastAsia" w:ascii="宋体" w:hAnsi="宋体" w:cs="宋体"/>
          <w:bCs/>
          <w:color w:val="auto"/>
          <w:sz w:val="24"/>
          <w:szCs w:val="24"/>
          <w:lang w:eastAsia="zh-CN"/>
        </w:rPr>
        <w:t xml:space="preserve">招标人（代理机构）</w:t>
      </w:r>
      <w:r>
        <w:rPr>
          <w:rFonts w:hint="eastAsia" w:ascii="宋体" w:hAnsi="宋体" w:eastAsia="宋体" w:cs="宋体"/>
          <w:bCs/>
          <w:color w:val="auto"/>
          <w:sz w:val="24"/>
          <w:szCs w:val="24"/>
        </w:rPr>
        <w:t xml:space="preserve">的这一要求而放弃投标，同意延长投标有效期的投标人既不能要求也不允许修改其投标文件。受投标有效期约束的所有权利与义务均延长至新的有效期。</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投标文件的签署</w:t>
      </w:r>
      <w:r/>
    </w:p>
    <w:p>
      <w:pPr>
        <w:ind w:left="0" w:right="0" w:firstLine="54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投标人应严格按照投标人须知第8条的要求编制投标文件</w:t>
      </w:r>
      <w:r>
        <w:rPr>
          <w:rFonts w:hint="eastAsia" w:ascii="宋体" w:hAnsi="宋体" w:eastAsia="宋体" w:cs="宋体"/>
          <w:color w:val="auto"/>
          <w:sz w:val="24"/>
          <w:szCs w:val="24"/>
        </w:rPr>
        <w:t xml:space="preserve">。</w:t>
      </w:r>
      <w:r/>
    </w:p>
    <w:p>
      <w:pPr>
        <w:ind w:left="0" w:right="0" w:firstLine="540"/>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15.2投标文件应在投标人进行签章的位置</w:t>
      </w:r>
      <w:r>
        <w:rPr>
          <w:rFonts w:hint="eastAsia" w:ascii="宋体" w:hAnsi="宋体" w:cs="宋体"/>
          <w:color w:val="auto"/>
          <w:sz w:val="24"/>
          <w:szCs w:val="24"/>
          <w:highlight w:val="none"/>
          <w:lang w:val="en-US" w:eastAsia="zh-CN"/>
        </w:rPr>
        <w:t xml:space="preserve">进行电子签章</w:t>
      </w:r>
      <w:r>
        <w:rPr>
          <w:rFonts w:hint="eastAsia" w:ascii="宋体" w:hAnsi="宋体" w:cs="宋体"/>
          <w:color w:val="auto"/>
          <w:sz w:val="24"/>
          <w:szCs w:val="24"/>
          <w:lang w:val="en-US" w:eastAsia="zh-CN"/>
        </w:rPr>
        <w:t xml:space="preserve">。电子投标文件不得涂改、行间插字或删除，如果出现上述情况应重新编制。</w:t>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w:t>
      </w:r>
      <w:r>
        <w:rPr>
          <w:rFonts w:hint="eastAsia" w:ascii="宋体" w:hAnsi="宋体" w:cs="宋体"/>
          <w:b/>
          <w:bCs/>
          <w:color w:val="auto"/>
          <w:sz w:val="24"/>
          <w:szCs w:val="24"/>
          <w:lang w:eastAsia="zh-CN"/>
        </w:rPr>
        <w:t xml:space="preserve">投标文件</w:t>
      </w:r>
      <w:r>
        <w:rPr>
          <w:rFonts w:hint="eastAsia" w:ascii="宋体" w:hAnsi="宋体" w:eastAsia="宋体" w:cs="宋体"/>
          <w:b/>
          <w:bCs/>
          <w:color w:val="auto"/>
          <w:sz w:val="24"/>
          <w:szCs w:val="24"/>
        </w:rPr>
        <w:t xml:space="preserve">的递交</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w:t>
      </w:r>
      <w:r>
        <w:rPr>
          <w:rFonts w:hint="eastAsia" w:ascii="宋体" w:hAnsi="宋体" w:cs="宋体"/>
          <w:b w:val="0"/>
          <w:bCs w:val="0"/>
          <w:color w:val="auto"/>
          <w:sz w:val="24"/>
          <w:lang w:eastAsia="zh-CN"/>
        </w:rPr>
        <w:t xml:space="preserve">响应文件的递交及接收截止时间</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投标人应当按照《操作手册》规定，在投标截止时间前制作并上传电子投标文件。投标人应充分考虑到网络环境、网络带宽等风险因素，如因投标人自身原因造成的电子投标文件上传不成功的按照无效投标处理。</w:t>
      </w:r>
      <w:r/>
    </w:p>
    <w:p>
      <w:pPr>
        <w:ind w:left="0" w:right="0" w:firstLine="480"/>
        <w:keepLines w:val="0"/>
        <w:keepNext w:val="0"/>
        <w:pageBreakBefore w:val="0"/>
        <w:spacing w:line="360" w:lineRule="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.2</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上传的电子响应文件内容不清楚或不清晰的（含扫描件），造成无法评审或部分影响评审的，责任由</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自负</w:t>
      </w:r>
      <w:r>
        <w:rPr>
          <w:rFonts w:hint="eastAsia" w:ascii="宋体" w:hAnsi="宋体" w:eastAsia="宋体" w:cs="宋体"/>
          <w:bCs/>
          <w:color w:val="auto"/>
          <w:sz w:val="24"/>
          <w:szCs w:val="24"/>
          <w:lang w:val="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.3</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上传电子响应文件的时间不得迟于投标邀请中规定的截止时间。</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.4</w:t>
      </w:r>
      <w:r>
        <w:rPr>
          <w:rFonts w:hint="eastAsia" w:ascii="宋体" w:hAnsi="宋体" w:cs="宋体"/>
          <w:color w:val="auto"/>
          <w:sz w:val="24"/>
          <w:szCs w:val="24"/>
          <w:lang w:eastAsia="zh-CN"/>
        </w:rPr>
        <w:t xml:space="preserve">招标人（代理机构）可以按第7条规定，通过修改招标文件有权酌情延长响应文件接收截止时间。在此情况下，供应商的所有权利和义务以及供应商受制约的截止日期均应以延长后新的截止日期为准</w:t>
      </w:r>
      <w:r>
        <w:rPr>
          <w:rFonts w:hint="eastAsia" w:ascii="宋体" w:hAnsi="宋体" w:eastAsia="宋体" w:cs="宋体"/>
          <w:color w:val="auto"/>
          <w:sz w:val="24"/>
          <w:szCs w:val="24"/>
        </w:rPr>
        <w:t xml:space="preserve">。</w:t>
      </w:r>
      <w:r/>
    </w:p>
    <w:p>
      <w:pPr>
        <w:ind w:left="0" w:right="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17</w:t>
      </w:r>
      <w:r>
        <w:rPr>
          <w:rFonts w:hint="eastAsia" w:ascii="宋体" w:hAnsi="宋体" w:eastAsia="宋体" w:cs="宋体"/>
          <w:color w:val="auto"/>
          <w:sz w:val="24"/>
          <w:szCs w:val="24"/>
        </w:rPr>
        <w:t xml:space="preserve">.投标文件被拒绝接收的情形</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rPr>
        <w:t xml:space="preserve">17.1</w:t>
      </w:r>
      <w:r>
        <w:rPr>
          <w:rFonts w:hint="eastAsia" w:ascii="宋体" w:hAnsi="宋体" w:cs="宋体"/>
          <w:color w:val="auto"/>
          <w:sz w:val="24"/>
          <w:lang w:eastAsia="zh-CN"/>
        </w:rPr>
        <w:t xml:space="preserve">在招标文件规定的投标截止时间后上传的电子投标文件</w:t>
      </w:r>
      <w:r>
        <w:rPr>
          <w:rFonts w:hint="eastAsia" w:ascii="宋体" w:hAnsi="宋体" w:cs="宋体"/>
          <w:color w:val="auto"/>
          <w:sz w:val="24"/>
        </w:rPr>
        <w:t xml:space="preserve">。</w:t>
      </w:r>
      <w:r/>
    </w:p>
    <w:p>
      <w:pPr>
        <w:ind w:left="0" w:right="0"/>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投标文件的修改和撤回</w:t>
      </w:r>
      <w:r/>
    </w:p>
    <w:p>
      <w:pPr>
        <w:ind w:firstLine="54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.1投标人在上传电子投标文件后可以对其修改或撤回，但这种修改和撤回，必须在规定的开标时间之前，具体操作方法见《操作手册》。</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18.2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投标人不得在开标时间以后修改电子投标文件。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.3投标人不得在提交电子投标文件截止时间起至投标有效期满前撤回电子投标文件。</w:t>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五、开标及评标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.1</w:t>
      </w:r>
      <w:r>
        <w:rPr>
          <w:rFonts w:hint="eastAsia" w:ascii="宋体" w:hAnsi="宋体" w:cs="宋体"/>
          <w:color w:val="auto"/>
          <w:sz w:val="24"/>
          <w:highlight w:val="none"/>
          <w:lang w:eastAsia="zh-CN"/>
        </w:rPr>
        <w:t xml:space="preserve">招标人（代理机构）将在招标公告中规定的时间和地点组织开标。投标人应当按照《操作手册》规定，参加开标活动和在苏采云系统规定的时间内对投标文件进行解密。</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.2开标仪式由</w:t>
      </w:r>
      <w:r>
        <w:rPr>
          <w:rFonts w:hint="eastAsia" w:ascii="宋体" w:hAnsi="宋体" w:cs="宋体"/>
          <w:color w:val="auto"/>
          <w:sz w:val="24"/>
          <w:highlight w:val="none"/>
          <w:lang w:eastAsia="zh-CN"/>
        </w:rPr>
        <w:t xml:space="preserve">招标人</w:t>
      </w:r>
      <w:r>
        <w:rPr>
          <w:rFonts w:hint="eastAsia" w:ascii="宋体" w:hAnsi="宋体" w:eastAsia="宋体" w:cs="宋体"/>
          <w:color w:val="auto"/>
          <w:sz w:val="24"/>
          <w:highlight w:val="none"/>
        </w:rPr>
        <w:t xml:space="preserve">（代理机构）组织。苏采云系统将自动对项目进行开标，并宣布各投标人名称和投标价格。</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.3投标人在开标过程中涉及到的投标文件解密、开标结果确认等工作，应按照《操作手册》规定执行。</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5投标截止时间结束后参加投标的投标人不足三家情况的，除采购任务取消情形外</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按财政部令第87号第四十三条条款进行处理</w:t>
      </w:r>
      <w:r>
        <w:rPr>
          <w:rFonts w:hint="eastAsia" w:ascii="宋体" w:hAnsi="宋体" w:eastAsia="宋体" w:cs="宋体"/>
          <w:color w:val="auto"/>
          <w:sz w:val="24"/>
          <w:highlight w:val="none"/>
          <w:lang w:val="zh-CN"/>
        </w:rPr>
        <w:t xml:space="preserve">。</w:t>
      </w:r>
      <w:r/>
    </w:p>
    <w:p>
      <w:pPr>
        <w:ind w:left="0" w:right="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20</w:t>
      </w:r>
      <w:r>
        <w:rPr>
          <w:rFonts w:hint="eastAsia" w:ascii="宋体" w:hAnsi="宋体" w:eastAsia="宋体" w:cs="宋体"/>
          <w:bCs/>
          <w:color w:val="auto"/>
          <w:sz w:val="24"/>
          <w:szCs w:val="24"/>
        </w:rPr>
        <w:t xml:space="preserve">.评标</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评标组织</w:t>
      </w:r>
      <w:r/>
    </w:p>
    <w:p>
      <w:pPr>
        <w:ind w:left="0" w:right="0" w:firstLine="48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.1.1评标工作由招标人（代理机构）负责组织，具体评标事务由依法组建的评标委员会负责，并独立履行下列职责</w:t>
      </w:r>
      <w:r>
        <w:rPr>
          <w:rFonts w:hint="eastAsia" w:ascii="宋体" w:hAnsi="宋体" w:cs="宋体"/>
          <w:color w:val="auto"/>
          <w:sz w:val="24"/>
          <w:szCs w:val="24"/>
          <w:lang w:eastAsia="zh-CN"/>
        </w:rPr>
        <w:t xml:space="preserve">：</w:t>
      </w:r>
      <w:r/>
    </w:p>
    <w:p>
      <w:pPr>
        <w:numPr>
          <w:ilvl w:val="0"/>
          <w:numId w:val="4"/>
        </w:numPr>
        <w:ind w:left="0" w:right="0" w:firstLine="480"/>
        <w:keepLines w:val="0"/>
        <w:keepNext w:val="0"/>
        <w:pageBreakBefore w:val="0"/>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审查、评价投标文件是否符合招标文件的商务、技术等实质性要求；</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cs="宋体"/>
          <w:color w:val="auto"/>
          <w:sz w:val="24"/>
          <w:szCs w:val="24"/>
          <w:lang w:val="zh-CN"/>
        </w:rPr>
        <w:t xml:space="preserve">要求投标人对投标文件有关事项作出澄清或者说明；</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cs="宋体"/>
          <w:color w:val="auto"/>
          <w:sz w:val="24"/>
          <w:szCs w:val="24"/>
          <w:lang w:val="zh-CN"/>
        </w:rPr>
        <w:t xml:space="preserve">对投标文件进行比较和评价；</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评委会独立工作，负责评审所有投标文件并确定中标</w:t>
      </w:r>
      <w:r>
        <w:rPr>
          <w:rFonts w:hint="eastAsia" w:ascii="宋体" w:hAnsi="宋体" w:cs="宋体"/>
          <w:color w:val="auto"/>
          <w:sz w:val="24"/>
          <w:szCs w:val="24"/>
          <w:highlight w:val="none"/>
          <w:lang w:val="zh-CN" w:eastAsia="zh-CN"/>
        </w:rPr>
        <w:t xml:space="preserve">候选人</w:t>
      </w:r>
      <w:r>
        <w:rPr>
          <w:rFonts w:hint="eastAsia" w:ascii="宋体" w:hAnsi="宋体" w:cs="宋体"/>
          <w:color w:val="auto"/>
          <w:sz w:val="24"/>
          <w:szCs w:val="24"/>
          <w:highlight w:val="none"/>
          <w:lang w:val="zh-CN"/>
        </w:rPr>
        <w:t xml:space="preserve">；</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cs="宋体"/>
          <w:color w:val="auto"/>
          <w:sz w:val="24"/>
          <w:szCs w:val="24"/>
          <w:lang w:val="zh-CN"/>
        </w:rPr>
        <w:t xml:space="preserve">向招标人、财政部门报告评标中发现的违法行为。</w:t>
      </w:r>
      <w:r/>
    </w:p>
    <w:p>
      <w:p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20.1.2评委会由采购人代表和有关技术、经济等方面的专家组成，且人员构成符合政府采购有关规定。</w:t>
      </w:r>
      <w:r/>
    </w:p>
    <w:p>
      <w:p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bCs/>
          <w:color w:val="auto"/>
          <w:sz w:val="24"/>
          <w:szCs w:val="24"/>
          <w:lang w:val="en-US" w:eastAsia="zh-CN"/>
        </w:rPr>
        <w:t xml:space="preserve">20</w:t>
      </w:r>
      <w:r>
        <w:rPr>
          <w:rFonts w:hint="eastAsia" w:ascii="宋体" w:hAnsi="宋体" w:eastAsia="宋体" w:cs="宋体"/>
          <w:bCs/>
          <w:color w:val="auto"/>
          <w:sz w:val="24"/>
          <w:szCs w:val="24"/>
        </w:rPr>
        <w:t xml:space="preserve">.2</w:t>
      </w:r>
      <w:r>
        <w:rPr>
          <w:rFonts w:hint="eastAsia" w:ascii="宋体" w:hAnsi="宋体" w:cs="宋体"/>
          <w:bCs/>
          <w:color w:val="auto"/>
          <w:sz w:val="24"/>
          <w:szCs w:val="24"/>
          <w:lang w:eastAsia="zh-CN"/>
        </w:rPr>
        <w:t xml:space="preserve">评标程序</w:t>
      </w:r>
      <w:r/>
    </w:p>
    <w:p>
      <w:p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.2.1投标文件的资格审查</w:t>
      </w:r>
      <w:r>
        <w:rPr>
          <w:rFonts w:hint="eastAsia" w:ascii="宋体" w:hAnsi="宋体" w:eastAsia="宋体" w:cs="宋体"/>
          <w:color w:val="auto"/>
          <w:sz w:val="24"/>
          <w:szCs w:val="24"/>
          <w:lang w:val="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20.2.1.1</w:t>
      </w:r>
      <w:r>
        <w:rPr>
          <w:rFonts w:hint="eastAsia" w:ascii="宋体" w:hAnsi="宋体" w:eastAsia="宋体" w:cs="宋体"/>
          <w:color w:val="auto"/>
          <w:sz w:val="24"/>
          <w:szCs w:val="24"/>
          <w:highlight w:val="none"/>
          <w:lang w:val="zh-CN" w:eastAsia="zh-CN"/>
        </w:rPr>
        <w:t xml:space="preserve"> </w:t>
      </w:r>
      <w:r>
        <w:rPr>
          <w:rFonts w:hint="eastAsia" w:ascii="宋体" w:hAnsi="宋体" w:eastAsia="宋体" w:cs="宋体"/>
          <w:color w:val="auto"/>
          <w:sz w:val="24"/>
          <w:szCs w:val="24"/>
          <w:highlight w:val="none"/>
          <w:lang w:val="zh-CN"/>
        </w:rPr>
        <w:t xml:space="preserve">投标文件初审分为资格审查和符合性审查。</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20.2.1.2资格审查：依据法律法规和招标文件的规定，由采购人对投标文件中的资格证明文件进行审查。资格审查的结论，采购人向评委会进行反馈。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20.2.1.3在进行资格性审查的同时，将在“信用中国”网站（www.creditchina.gov.cn）查询投标人的信用记录，以确定投标人是否具备投标资格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rPr>
        <w:t xml:space="preserve">查询结果留存并归档。</w:t>
      </w:r>
      <w:r/>
    </w:p>
    <w:p>
      <w:pPr>
        <w:ind w:left="0" w:right="0" w:firstLine="480"/>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20.2.1.4投标文件有下列情况之一的，在资格性审查时按照无效投标处理</w:t>
      </w:r>
      <w:r>
        <w:rPr>
          <w:rFonts w:hint="eastAsia" w:ascii="宋体" w:hAnsi="宋体" w:cs="宋体"/>
          <w:color w:val="auto"/>
          <w:sz w:val="24"/>
          <w:szCs w:val="24"/>
          <w:highlight w:val="none"/>
          <w:lang w:val="zh-CN"/>
        </w:rPr>
        <w:t xml:space="preserve">：</w:t>
      </w:r>
      <w:r/>
    </w:p>
    <w:p>
      <w:pPr>
        <w:numPr>
          <w:ilvl w:val="0"/>
          <w:numId w:val="5"/>
        </w:numPr>
        <w:ind w:left="0" w:right="0" w:firstLine="480"/>
        <w:keepLines w:val="0"/>
        <w:keepNext w:val="0"/>
        <w:pageBreakBefore w:val="0"/>
        <w:spacing w:line="360" w:lineRule="auto"/>
        <w:widowControl w:val="off"/>
        <w:rPr>
          <w:rFonts w:hint="eastAsia"/>
          <w:color w:val="auto"/>
          <w:sz w:val="24"/>
          <w:szCs w:val="24"/>
          <w:highlight w:val="none"/>
          <w:lang w:val="zh-CN"/>
        </w:rPr>
      </w:pPr>
      <w:r>
        <w:rPr>
          <w:rFonts w:hint="eastAsia" w:ascii="宋体" w:hAnsi="宋体" w:cs="宋体"/>
          <w:color w:val="auto"/>
          <w:sz w:val="24"/>
          <w:szCs w:val="24"/>
          <w:highlight w:val="none"/>
          <w:lang w:val="zh-CN"/>
        </w:rPr>
        <w:t xml:space="preserve">不具备招标文件中规定的资格要求的；</w:t>
      </w:r>
      <w:r/>
    </w:p>
    <w:p>
      <w:pPr>
        <w:numPr>
          <w:ilvl w:val="0"/>
          <w:numId w:val="5"/>
        </w:numPr>
        <w:ind w:left="0" w:right="0" w:firstLine="480"/>
        <w:keepLines w:val="0"/>
        <w:keepNext w:val="0"/>
        <w:pageBreakBefore w:val="0"/>
        <w:spacing w:line="360" w:lineRule="auto"/>
        <w:widowControl w:val="off"/>
        <w:rPr>
          <w:rFonts w:hint="eastAsia" w:ascii="宋体" w:hAnsi="宋体" w:cs="宋体"/>
          <w:color w:val="auto"/>
          <w:sz w:val="24"/>
          <w:szCs w:val="24"/>
          <w:lang w:val="zh-CN"/>
        </w:rPr>
      </w:pPr>
      <w:r>
        <w:rPr>
          <w:rFonts w:hint="eastAsia" w:ascii="宋体" w:hAnsi="宋体" w:cs="宋体"/>
          <w:color w:val="auto"/>
          <w:sz w:val="24"/>
          <w:szCs w:val="24"/>
          <w:highlight w:val="none"/>
          <w:lang w:val="zh-CN"/>
        </w:rPr>
        <w:t xml:space="preserve">投标人被“信用中国”网站列入失信被执行人或重大税收违法案件当事人名单或政府采购严重失信行为记录名单。</w:t>
      </w:r>
      <w:r/>
    </w:p>
    <w:p>
      <w:pPr>
        <w:numPr>
          <w:ilvl w:val="0"/>
          <w:numId w:val="0"/>
        </w:numPr>
        <w:ind w:left="0" w:right="0" w:firstLine="480"/>
        <w:jc w:val="left"/>
        <w:keepLines w:val="0"/>
        <w:keepNext w:val="0"/>
        <w:pageBreakBefore w:val="0"/>
        <w:spacing w:line="360" w:lineRule="auto"/>
        <w:widowControl w:val="off"/>
        <w:rPr>
          <w:rFonts w:hint="eastAsia"/>
          <w:color w:val="auto"/>
          <w:sz w:val="24"/>
          <w:szCs w:val="24"/>
          <w:lang w:val="zh-CN"/>
        </w:rPr>
      </w:pPr>
      <w:r>
        <w:rPr>
          <w:rFonts w:hint="eastAsia" w:ascii="宋体" w:hAnsi="宋体" w:cs="宋体"/>
          <w:color w:val="auto"/>
          <w:sz w:val="24"/>
          <w:szCs w:val="24"/>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20.2.2投标文件的符合性审查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20.2.2.1依据招标文件的规定，由评委会从投标文件的有效性、完整性和对招标文件的响应程度进行审查，以确定是否对招标文件的实质性要求作出响应。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20.2.2.2 如果投标文件实质上没有响应招标文件的要求，评委会将予以拒绝，投标人不得通过修改或撤销不符合要求的偏离或保留而使其投标成为实质性响应的投标。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20.2.2.3 评委会将对确定为实质性响应的投标进行进一步审核，看其是否有计算上或累加上的算术错误，修正错误的原则如下：</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（1）投标文件中开标一览表内容与投标文件中相应内容不一致的，以开标一览表为准。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（4）总价金额与按单价汇总金额不一致的，以单价金额计算结果为准。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同时出现两种以上错误的，按照前款规定的顺序修正。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20.2.2.4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未通过资格审查或符合性审查的投标人，</w:t>
      </w:r>
      <w:r>
        <w:rPr>
          <w:rFonts w:hint="eastAsia" w:ascii="宋体" w:hAnsi="宋体" w:cs="宋体"/>
          <w:color w:val="auto"/>
          <w:sz w:val="24"/>
          <w:szCs w:val="24"/>
          <w:highlight w:val="none"/>
          <w:lang w:val="en-US" w:eastAsia="zh-CN"/>
        </w:rPr>
        <w:t xml:space="preserve">招标人（代理机构）</w:t>
      </w:r>
      <w:r>
        <w:rPr>
          <w:rFonts w:hint="eastAsia" w:ascii="宋体" w:hAnsi="宋体" w:eastAsia="宋体" w:cs="宋体"/>
          <w:color w:val="auto"/>
          <w:sz w:val="24"/>
          <w:szCs w:val="24"/>
          <w:highlight w:val="none"/>
          <w:lang w:val="en-US" w:eastAsia="zh-CN"/>
        </w:rPr>
        <w:t xml:space="preserve">将在苏采云系统中告知未通过资格审查或符合性审查的原因，评审结束后，</w:t>
      </w:r>
      <w:r>
        <w:rPr>
          <w:rFonts w:hint="eastAsia" w:ascii="宋体" w:hAnsi="宋体" w:cs="宋体"/>
          <w:color w:val="auto"/>
          <w:sz w:val="24"/>
          <w:szCs w:val="24"/>
          <w:highlight w:val="none"/>
          <w:lang w:val="en-US" w:eastAsia="zh-CN"/>
        </w:rPr>
        <w:t xml:space="preserve">招标人（代理机构）</w:t>
      </w:r>
      <w:r>
        <w:rPr>
          <w:rFonts w:hint="eastAsia" w:ascii="宋体" w:hAnsi="宋体" w:eastAsia="宋体" w:cs="宋体"/>
          <w:color w:val="auto"/>
          <w:sz w:val="24"/>
          <w:szCs w:val="24"/>
          <w:highlight w:val="none"/>
          <w:lang w:val="en-US" w:eastAsia="zh-CN"/>
        </w:rPr>
        <w:t xml:space="preserve">将不再告知未通过资格审查或符合性审查的原因。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20.2.2.5投标文件的澄清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20.2.2.5.1评标期间，评委会对投标文件中含义不明确、同类问题表述不一致或者有明显文字和计算错误的内容，有权要求投标人作出必要的澄清、说明或者补正。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投标人的澄清、说明或者补正不得超出投标文件的范围或者改变投标文件的实质性内容。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评委会并非对每个投标人都做澄清要求。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20.2.2.6接到评委会澄清、说明和补正要求的投标人如未按规定作出澄清、说明和补正，其风险由投标人自行承担。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非单一产品采购项目，招标文件中将载明其中的核心产品。多家投标人提供的核心产品品牌相同的，按前两款规定处理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20.2.2.8投标文件有下列情况之一的，在符合性审查时按照无效投标处理</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（1）投标人在苏采云系统规定的时间内未成功解密电子投标文件的。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（2）投标人未按照招标文件要求上传电子投标文件的。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（3）同一投标人提交两个（含两个）以上不同的投标报价的。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（4）投标人不具备招标文件中规定资格要求的。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（5）投标人的报价超过了采购预算或最高限价的。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（6）投标文件含有</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lang w:val="en-US" w:eastAsia="zh-CN"/>
        </w:rPr>
        <w:t xml:space="preserve">不能接受的附加条件的；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（7）不符合招标文件中规定的实质性要求和条件的（第五章“项目采购需求”中加“★”项为实质性条款不接受负偏离，不响应作无效标处理）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（8）经查实提供虚假材料谋取成交的；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（9）投标文件未按照招标文件要求加盖CA电子公章的。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（10）未通过符合性审查的。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（12）按照第30.3的要求本项目中具有“强制采购”产品，但未提供经国家确定的认证机构出具的、处于有效期之内该节能产品认证证书图片的；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其他法律、法规及本招标文件规定的无效投标的情形。</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在评标期间，出现符合专业条件的投标人或者对招标文件作出实质性响应的投标人</w:t>
      </w:r>
      <w:r>
        <w:rPr>
          <w:rFonts w:hint="eastAsia" w:ascii="宋体" w:hAnsi="宋体" w:cs="宋体"/>
          <w:color w:val="auto"/>
          <w:sz w:val="24"/>
          <w:szCs w:val="24"/>
          <w:highlight w:val="none"/>
          <w:lang w:val="en-US" w:eastAsia="zh-CN"/>
        </w:rPr>
        <w:t xml:space="preserve">不足</w:t>
      </w:r>
      <w:r>
        <w:rPr>
          <w:rFonts w:hint="eastAsia" w:ascii="宋体" w:hAnsi="宋体" w:eastAsia="宋体" w:cs="宋体"/>
          <w:color w:val="auto"/>
          <w:sz w:val="24"/>
          <w:szCs w:val="24"/>
          <w:highlight w:val="none"/>
          <w:lang w:val="en-US" w:eastAsia="zh-CN"/>
        </w:rPr>
        <w:t xml:space="preserve">三家情形的，按政府采购相关规定执行。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20.2.2.9有下列情形之一的予以废标，同时将废标理由通知所有投标人</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（1）符合专业条件的投标人或者对招标文件作实质性响应的投标人不足三家的；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）评标委员会认定招标文件存在歧义、重大缺陷导致评审工作无法进行。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）因苏采云</w:t>
      </w:r>
      <w:r>
        <w:rPr>
          <w:rFonts w:hint="eastAsia" w:ascii="宋体" w:hAnsi="宋体" w:cs="宋体"/>
          <w:color w:val="auto"/>
          <w:sz w:val="24"/>
          <w:szCs w:val="24"/>
          <w:highlight w:val="none"/>
          <w:lang w:val="en-US" w:eastAsia="zh-CN"/>
        </w:rPr>
        <w:t xml:space="preserve">系统故障</w:t>
      </w:r>
      <w:r>
        <w:rPr>
          <w:rFonts w:hint="eastAsia" w:ascii="宋体" w:hAnsi="宋体" w:eastAsia="宋体" w:cs="宋体"/>
          <w:color w:val="auto"/>
          <w:sz w:val="24"/>
          <w:szCs w:val="24"/>
          <w:highlight w:val="none"/>
          <w:lang w:val="en-US" w:eastAsia="zh-CN"/>
        </w:rPr>
        <w:t xml:space="preserve">原因造成开标不成功的。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投标截止时间结束后参加投标的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不足三家的。</w:t>
      </w:r>
      <w:r/>
    </w:p>
    <w:p>
      <w:pPr>
        <w:ind w:right="0"/>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val="en-US" w:eastAsia="zh-CN"/>
        </w:rPr>
        <w:t xml:space="preserve">21</w:t>
      </w:r>
      <w:r>
        <w:rPr>
          <w:rFonts w:hint="eastAsia" w:ascii="宋体" w:hAnsi="宋体" w:eastAsia="宋体" w:cs="宋体"/>
          <w:color w:val="auto"/>
          <w:sz w:val="24"/>
          <w:szCs w:val="24"/>
        </w:rPr>
        <w:t xml:space="preserve">.评审及中标</w:t>
      </w:r>
      <w:r/>
    </w:p>
    <w:p>
      <w:pPr>
        <w:pStyle w:val="1015"/>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21.1评委会将对通过资格性审查和符合性审查的投标文件进行评价和比较。</w:t>
      </w:r>
      <w:r/>
    </w:p>
    <w:p>
      <w:pPr>
        <w:pStyle w:val="1015"/>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21.2评委会按招标文件第三章中公布的评标标准对每份合格投标文件进行评审，确定中标投标人，任何单项因素的最优不能作为中标的保证。</w:t>
      </w:r>
      <w:r/>
    </w:p>
    <w:p>
      <w:pPr>
        <w:pStyle w:val="1015"/>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评标过程的保密</w:t>
      </w:r>
      <w:r/>
    </w:p>
    <w:p>
      <w:pPr>
        <w:pStyle w:val="1015"/>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22.1在宣布中标结果之前，凡属于审查、澄清、评价、比较投标文件和中标意向等有关信息，相关当事人均不得泄露给任何投标人或与评审工作无关的人员。</w:t>
      </w:r>
      <w:r/>
    </w:p>
    <w:p>
      <w:pPr>
        <w:pStyle w:val="1015"/>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22.2招标人（代理机构）和评审委员会不向未中标的投标人解释未中标原因，也不公布评审过程中的相关细节。</w:t>
      </w:r>
      <w:r/>
    </w:p>
    <w:p>
      <w:pPr>
        <w:pStyle w:val="1015"/>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22.3评标委员会名单在开标前确定，并在招标结果确定前保密。</w:t>
      </w:r>
      <w:r/>
    </w:p>
    <w:p>
      <w:pPr>
        <w:pStyle w:val="1015"/>
        <w:ind w:firstLine="480"/>
        <w:keepLines w:val="0"/>
        <w:keepNext w:val="0"/>
        <w:pageBreakBefore w:val="0"/>
        <w:spacing w:line="360" w:lineRule="auto"/>
        <w:widowControl w:val="off"/>
        <w:rPr>
          <w:rFonts w:hint="eastAsia"/>
          <w:color w:val="auto"/>
        </w:rPr>
      </w:pPr>
      <w:r>
        <w:rPr>
          <w:rFonts w:hint="eastAsia" w:ascii="宋体" w:hAnsi="宋体" w:cs="宋体"/>
          <w:color w:val="auto"/>
          <w:sz w:val="24"/>
          <w:highlight w:val="none"/>
        </w:rPr>
        <w:t xml:space="preserve">22.4投标人在开、评标全过程中应</w:t>
      </w:r>
      <w:r>
        <w:rPr>
          <w:rFonts w:hint="eastAsia" w:ascii="宋体" w:hAnsi="宋体" w:cs="宋体"/>
          <w:color w:val="auto"/>
          <w:sz w:val="24"/>
          <w:highlight w:val="none"/>
          <w:lang w:eastAsia="zh-CN"/>
        </w:rPr>
        <w:t xml:space="preserve">保持通信畅通</w:t>
      </w:r>
      <w:r>
        <w:rPr>
          <w:rFonts w:hint="eastAsia" w:ascii="宋体" w:hAnsi="宋体" w:cs="宋体"/>
          <w:color w:val="auto"/>
          <w:sz w:val="24"/>
          <w:highlight w:val="none"/>
        </w:rPr>
        <w:t xml:space="preserve">，及时登录苏采云系统查阅、答复相关信息，并安排专人与</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（代理机构）及评标委员会联系。</w:t>
      </w:r>
      <w:r/>
    </w:p>
    <w:p>
      <w:pPr>
        <w:numPr>
          <w:ilvl w:val="0"/>
          <w:numId w:val="6"/>
        </w:numPr>
        <w:ind w:left="0" w:right="0"/>
        <w:keepLines w:val="0"/>
        <w:keepNext w:val="0"/>
        <w:pageBreakBefore w:val="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定标及合同签订</w:t>
      </w:r>
      <w:r/>
    </w:p>
    <w:p>
      <w:pPr>
        <w:pStyle w:val="843"/>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bookmarkStart w:id="8" w:name="_Toc8139_WPSOffice_Level1"/>
      <w:r>
        <w:rPr>
          <w:rFonts w:hint="eastAsia" w:ascii="宋体" w:hAnsi="宋体" w:eastAsia="宋体" w:cs="宋体"/>
          <w:bCs/>
          <w:color w:val="auto"/>
          <w:sz w:val="24"/>
          <w:szCs w:val="24"/>
          <w:lang w:val="en-US" w:eastAsia="zh-CN"/>
        </w:rPr>
        <w:t xml:space="preserve">23</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确定中标投标人</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23.1评委会根据招标文件中规定的评标标准对投标人进行综合评审，最终按综合评审得分由高到低的顺序推荐出3名中标候选人。</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23.2招标人应根据评委会推荐的中标候选人确认中标人。</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23.3招标人（代理机构）将在江苏政府采购网、淮安市政府采购网发布中标公告，公告期限为1个工作日。</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23.4中标人在合同签订前，如经查实从参加该中标项目之日起计算所参加的政府采购活动前三年内，在经营活动中有行贿犯罪记录的，招标人将取消其中标资格。</w:t>
      </w:r>
      <w:r/>
    </w:p>
    <w:p>
      <w:pPr>
        <w:pStyle w:val="843"/>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中标通知书</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24.1成交结果公示结束且在无疑义情况下，</w:t>
      </w:r>
      <w:r>
        <w:rPr>
          <w:rFonts w:hint="eastAsia" w:ascii="宋体" w:hAnsi="宋体" w:cs="宋体"/>
          <w:bCs/>
          <w:color w:val="auto"/>
          <w:sz w:val="24"/>
          <w:szCs w:val="24"/>
          <w:lang w:val="en-US" w:eastAsia="zh-CN"/>
        </w:rPr>
        <w:t xml:space="preserve">招标人</w:t>
      </w:r>
      <w:r>
        <w:rPr>
          <w:rFonts w:hint="eastAsia" w:ascii="宋体" w:hAnsi="宋体" w:eastAsia="宋体" w:cs="宋体"/>
          <w:bCs/>
          <w:color w:val="auto"/>
          <w:sz w:val="24"/>
          <w:szCs w:val="24"/>
          <w:lang w:val="en-US" w:eastAsia="zh-CN"/>
        </w:rPr>
        <w:t xml:space="preserve">（代理机构）将通知中标人。</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24.2中标人在中标通知书发放后</w:t>
      </w:r>
      <w:r>
        <w:rPr>
          <w:rFonts w:hint="eastAsia" w:ascii="宋体" w:hAnsi="宋体" w:eastAsia="宋体" w:cs="宋体"/>
          <w:b/>
          <w:bCs w:val="0"/>
          <w:color w:val="auto"/>
          <w:sz w:val="24"/>
          <w:szCs w:val="24"/>
          <w:lang w:val="en-US" w:eastAsia="zh-CN"/>
        </w:rPr>
        <w:t xml:space="preserve">五个工作日</w:t>
      </w:r>
      <w:r>
        <w:rPr>
          <w:rFonts w:hint="eastAsia" w:ascii="宋体" w:hAnsi="宋体" w:eastAsia="宋体" w:cs="宋体"/>
          <w:b w:val="0"/>
          <w:bCs/>
          <w:color w:val="auto"/>
          <w:sz w:val="24"/>
          <w:szCs w:val="24"/>
          <w:lang w:val="en-US" w:eastAsia="zh-CN"/>
        </w:rPr>
        <w:t xml:space="preserve">内</w:t>
      </w:r>
      <w:r>
        <w:rPr>
          <w:rFonts w:hint="eastAsia" w:ascii="宋体" w:hAnsi="宋体" w:eastAsia="宋体" w:cs="宋体"/>
          <w:bCs/>
          <w:color w:val="auto"/>
          <w:sz w:val="24"/>
          <w:szCs w:val="24"/>
          <w:lang w:val="en-US" w:eastAsia="zh-CN"/>
        </w:rPr>
        <w:t xml:space="preserve">办理相关交费手续，逾期未办理作自动放弃处理。中标人在中标通知书发放后</w:t>
      </w:r>
      <w:r>
        <w:rPr>
          <w:rFonts w:hint="eastAsia" w:ascii="宋体" w:hAnsi="宋体" w:eastAsia="宋体" w:cs="宋体"/>
          <w:b/>
          <w:bCs w:val="0"/>
          <w:color w:val="auto"/>
          <w:sz w:val="24"/>
          <w:szCs w:val="24"/>
          <w:lang w:val="en-US" w:eastAsia="zh-CN"/>
        </w:rPr>
        <w:t xml:space="preserve">五个工作日</w:t>
      </w:r>
      <w:r>
        <w:rPr>
          <w:rFonts w:hint="eastAsia" w:ascii="宋体" w:hAnsi="宋体" w:eastAsia="宋体" w:cs="宋体"/>
          <w:b w:val="0"/>
          <w:bCs/>
          <w:color w:val="auto"/>
          <w:sz w:val="24"/>
          <w:szCs w:val="24"/>
          <w:lang w:val="en-US" w:eastAsia="zh-CN"/>
        </w:rPr>
        <w:t xml:space="preserve">内</w:t>
      </w:r>
      <w:r>
        <w:rPr>
          <w:rFonts w:hint="eastAsia" w:ascii="宋体" w:hAnsi="宋体" w:eastAsia="宋体" w:cs="宋体"/>
          <w:bCs/>
          <w:color w:val="auto"/>
          <w:sz w:val="24"/>
          <w:szCs w:val="24"/>
          <w:lang w:val="en-US" w:eastAsia="zh-CN"/>
        </w:rPr>
        <w:t xml:space="preserve">必须递交与电子投标文件一致的纸质投标文件（印章齐全）正本一份，副本</w:t>
      </w:r>
      <w:r>
        <w:rPr>
          <w:rFonts w:hint="eastAsia" w:ascii="宋体" w:hAnsi="宋体" w:cs="宋体"/>
          <w:bCs/>
          <w:color w:val="auto"/>
          <w:sz w:val="24"/>
          <w:szCs w:val="24"/>
          <w:lang w:val="en-US" w:eastAsia="zh-CN"/>
        </w:rPr>
        <w:t xml:space="preserve">一</w:t>
      </w:r>
      <w:r>
        <w:rPr>
          <w:rFonts w:hint="eastAsia" w:ascii="宋体" w:hAnsi="宋体" w:eastAsia="宋体" w:cs="宋体"/>
          <w:bCs/>
          <w:color w:val="auto"/>
          <w:sz w:val="24"/>
          <w:szCs w:val="24"/>
          <w:lang w:val="en-US" w:eastAsia="zh-CN"/>
        </w:rPr>
        <w:t xml:space="preserve">份。</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24.3中标通知书将是合同的一个组成部分。</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请中标人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w:t>
      </w:r>
      <w:r>
        <w:rPr>
          <w:rFonts w:hint="eastAsia" w:ascii="宋体" w:hAnsi="宋体" w:cs="宋体"/>
          <w:bCs/>
          <w:color w:val="auto"/>
          <w:sz w:val="24"/>
          <w:szCs w:val="24"/>
          <w:lang w:val="en-US" w:eastAsia="zh-CN"/>
        </w:rPr>
        <w:t xml:space="preserve">供应商</w:t>
      </w:r>
      <w:r>
        <w:rPr>
          <w:rFonts w:hint="eastAsia" w:ascii="宋体" w:hAnsi="宋体" w:eastAsia="宋体" w:cs="宋体"/>
          <w:bCs/>
          <w:color w:val="auto"/>
          <w:sz w:val="24"/>
          <w:szCs w:val="24"/>
          <w:lang w:val="en-US" w:eastAsia="zh-CN"/>
        </w:rPr>
        <w:t xml:space="preserve">自行承担。</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24.4成交通知书对</w:t>
      </w:r>
      <w:r>
        <w:rPr>
          <w:rFonts w:hint="eastAsia" w:ascii="宋体" w:hAnsi="宋体" w:cs="宋体"/>
          <w:bCs/>
          <w:color w:val="auto"/>
          <w:sz w:val="24"/>
          <w:szCs w:val="24"/>
          <w:lang w:val="en-US" w:eastAsia="zh-CN"/>
        </w:rPr>
        <w:t xml:space="preserve">招标人</w:t>
      </w:r>
      <w:r>
        <w:rPr>
          <w:rFonts w:hint="eastAsia" w:ascii="宋体" w:hAnsi="宋体" w:eastAsia="宋体" w:cs="宋体"/>
          <w:bCs/>
          <w:color w:val="auto"/>
          <w:sz w:val="24"/>
          <w:szCs w:val="24"/>
          <w:lang w:val="en-US" w:eastAsia="zh-CN"/>
        </w:rPr>
        <w:t xml:space="preserve">及中标人同时均具法律效力。</w:t>
      </w:r>
      <w:r/>
    </w:p>
    <w:p>
      <w:pPr>
        <w:pStyle w:val="843"/>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25</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签订合同</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25.1招标人与中标人应在中标通知书发出之日起</w:t>
      </w:r>
      <w:r>
        <w:rPr>
          <w:rFonts w:hint="eastAsia" w:ascii="宋体" w:hAnsi="宋体" w:eastAsia="宋体" w:cs="宋体"/>
          <w:b/>
          <w:bCs w:val="0"/>
          <w:color w:val="auto"/>
          <w:sz w:val="24"/>
          <w:szCs w:val="24"/>
          <w:lang w:val="en-US" w:eastAsia="zh-CN"/>
        </w:rPr>
        <w:t xml:space="preserve">三十日内</w:t>
      </w:r>
      <w:r>
        <w:rPr>
          <w:rFonts w:hint="eastAsia" w:ascii="宋体" w:hAnsi="宋体" w:eastAsia="宋体" w:cs="宋体"/>
          <w:bCs/>
          <w:color w:val="auto"/>
          <w:sz w:val="24"/>
          <w:szCs w:val="24"/>
          <w:lang w:val="en-US" w:eastAsia="zh-CN"/>
        </w:rPr>
        <w:t xml:space="preserve">签订政府采购合同。招标文件、中标人的投标文件及澄清文件等均为签订合同依据。</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25.2中标人自中标通知书发出之日起</w:t>
      </w:r>
      <w:r>
        <w:rPr>
          <w:rFonts w:hint="eastAsia" w:ascii="宋体" w:hAnsi="宋体" w:eastAsia="宋体" w:cs="宋体"/>
          <w:b/>
          <w:bCs w:val="0"/>
          <w:color w:val="auto"/>
          <w:sz w:val="24"/>
          <w:szCs w:val="24"/>
          <w:lang w:val="en-US" w:eastAsia="zh-CN"/>
        </w:rPr>
        <w:t xml:space="preserve">三十日内</w:t>
      </w:r>
      <w:r>
        <w:rPr>
          <w:rFonts w:hint="eastAsia" w:ascii="宋体" w:hAnsi="宋体" w:eastAsia="宋体" w:cs="宋体"/>
          <w:bCs/>
          <w:color w:val="auto"/>
          <w:sz w:val="24"/>
          <w:szCs w:val="24"/>
          <w:lang w:val="en-US" w:eastAsia="zh-CN"/>
        </w:rPr>
        <w:t xml:space="preserve">无正当理由不与招标人签订合同，将按财政部第87号令相关规定进行处理。</w:t>
      </w:r>
      <w:r/>
    </w:p>
    <w:p>
      <w:pPr>
        <w:pStyle w:val="843"/>
        <w:ind w:left="0" w:firstLine="482"/>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
          <w:bCs w:val="0"/>
          <w:color w:val="auto"/>
          <w:sz w:val="24"/>
          <w:szCs w:val="24"/>
          <w:lang w:val="en-US" w:eastAsia="zh-CN"/>
        </w:rPr>
        <w:t xml:space="preserve">如果</w:t>
      </w:r>
      <w:r>
        <w:rPr>
          <w:rFonts w:hint="eastAsia" w:ascii="宋体" w:hAnsi="宋体" w:cs="宋体"/>
          <w:b/>
          <w:bCs w:val="0"/>
          <w:color w:val="auto"/>
          <w:sz w:val="24"/>
          <w:szCs w:val="24"/>
          <w:lang w:val="en-US" w:eastAsia="zh-CN"/>
        </w:rPr>
        <w:t xml:space="preserve">中标人</w:t>
      </w:r>
      <w:r>
        <w:rPr>
          <w:rFonts w:hint="eastAsia" w:ascii="宋体" w:hAnsi="宋体" w:eastAsia="宋体" w:cs="宋体"/>
          <w:b/>
          <w:bCs w:val="0"/>
          <w:color w:val="auto"/>
          <w:sz w:val="24"/>
          <w:szCs w:val="24"/>
          <w:lang w:val="en-US" w:eastAsia="zh-CN"/>
        </w:rPr>
        <w:t xml:space="preserve">没有按照2</w:t>
      </w:r>
      <w:r>
        <w:rPr>
          <w:rFonts w:hint="eastAsia" w:ascii="宋体" w:hAnsi="宋体" w:cs="宋体"/>
          <w:b/>
          <w:bCs w:val="0"/>
          <w:color w:val="auto"/>
          <w:sz w:val="24"/>
          <w:szCs w:val="24"/>
          <w:lang w:val="en-US" w:eastAsia="zh-CN"/>
        </w:rPr>
        <w:t xml:space="preserve">4</w:t>
      </w:r>
      <w:r>
        <w:rPr>
          <w:rFonts w:hint="eastAsia" w:ascii="宋体" w:hAnsi="宋体" w:eastAsia="宋体" w:cs="宋体"/>
          <w:b/>
          <w:bCs w:val="0"/>
          <w:color w:val="auto"/>
          <w:sz w:val="24"/>
          <w:szCs w:val="24"/>
          <w:lang w:val="en-US" w:eastAsia="zh-CN"/>
        </w:rPr>
        <w:t xml:space="preserve">条或2</w:t>
      </w:r>
      <w:r>
        <w:rPr>
          <w:rFonts w:hint="eastAsia" w:ascii="宋体" w:hAnsi="宋体" w:cs="宋体"/>
          <w:b/>
          <w:bCs w:val="0"/>
          <w:color w:val="auto"/>
          <w:sz w:val="24"/>
          <w:szCs w:val="24"/>
          <w:lang w:val="en-US" w:eastAsia="zh-CN"/>
        </w:rPr>
        <w:t xml:space="preserve">5</w:t>
      </w:r>
      <w:r>
        <w:rPr>
          <w:rFonts w:hint="eastAsia" w:ascii="宋体" w:hAnsi="宋体" w:eastAsia="宋体" w:cs="宋体"/>
          <w:b/>
          <w:bCs w:val="0"/>
          <w:color w:val="auto"/>
          <w:sz w:val="24"/>
          <w:szCs w:val="24"/>
          <w:lang w:val="en-US" w:eastAsia="zh-CN"/>
        </w:rPr>
        <w:t xml:space="preserve">条的规定去做，</w:t>
      </w:r>
      <w:r>
        <w:rPr>
          <w:rFonts w:hint="eastAsia" w:ascii="宋体" w:hAnsi="宋体" w:cs="宋体"/>
          <w:b/>
          <w:bCs w:val="0"/>
          <w:color w:val="auto"/>
          <w:sz w:val="24"/>
          <w:szCs w:val="24"/>
          <w:lang w:val="en-US" w:eastAsia="zh-CN"/>
        </w:rPr>
        <w:t xml:space="preserve">招标人</w:t>
      </w:r>
      <w:r>
        <w:rPr>
          <w:rFonts w:hint="eastAsia" w:ascii="宋体" w:hAnsi="宋体" w:eastAsia="宋体" w:cs="宋体"/>
          <w:b/>
          <w:bCs w:val="0"/>
          <w:color w:val="auto"/>
          <w:sz w:val="24"/>
          <w:szCs w:val="24"/>
          <w:lang w:val="en-US" w:eastAsia="zh-CN"/>
        </w:rPr>
        <w:t xml:space="preserve">可取消其</w:t>
      </w:r>
      <w:r>
        <w:rPr>
          <w:rFonts w:hint="eastAsia" w:ascii="宋体" w:hAnsi="宋体" w:cs="宋体"/>
          <w:b/>
          <w:bCs w:val="0"/>
          <w:color w:val="auto"/>
          <w:sz w:val="24"/>
          <w:szCs w:val="24"/>
          <w:lang w:val="en-US" w:eastAsia="zh-CN"/>
        </w:rPr>
        <w:t xml:space="preserve">中标</w:t>
      </w:r>
      <w:r>
        <w:rPr>
          <w:rFonts w:hint="eastAsia" w:ascii="宋体" w:hAnsi="宋体" w:eastAsia="宋体" w:cs="宋体"/>
          <w:b/>
          <w:bCs w:val="0"/>
          <w:color w:val="auto"/>
          <w:sz w:val="24"/>
          <w:szCs w:val="24"/>
          <w:lang w:val="en-US" w:eastAsia="zh-CN"/>
        </w:rPr>
        <w:t xml:space="preserve">资格，在此情况下</w:t>
      </w:r>
      <w:r>
        <w:rPr>
          <w:rFonts w:hint="eastAsia" w:ascii="宋体" w:hAnsi="宋体" w:cs="宋体"/>
          <w:b/>
          <w:bCs w:val="0"/>
          <w:color w:val="auto"/>
          <w:sz w:val="24"/>
          <w:szCs w:val="24"/>
          <w:lang w:val="en-US" w:eastAsia="zh-CN"/>
        </w:rPr>
        <w:t xml:space="preserve">招标人</w:t>
      </w:r>
      <w:r>
        <w:rPr>
          <w:rFonts w:hint="eastAsia" w:ascii="宋体" w:hAnsi="宋体" w:eastAsia="宋体" w:cs="宋体"/>
          <w:b/>
          <w:bCs w:val="0"/>
          <w:color w:val="auto"/>
          <w:sz w:val="24"/>
          <w:szCs w:val="24"/>
          <w:lang w:val="en-US" w:eastAsia="zh-CN"/>
        </w:rPr>
        <w:t xml:space="preserve">可将标授予下一个</w:t>
      </w:r>
      <w:r>
        <w:rPr>
          <w:rFonts w:hint="eastAsia" w:ascii="宋体" w:hAnsi="宋体" w:cs="宋体"/>
          <w:b/>
          <w:bCs w:val="0"/>
          <w:color w:val="auto"/>
          <w:sz w:val="24"/>
          <w:szCs w:val="24"/>
          <w:lang w:val="en-US" w:eastAsia="zh-CN"/>
        </w:rPr>
        <w:t xml:space="preserve">中标</w:t>
      </w:r>
      <w:r>
        <w:rPr>
          <w:rFonts w:hint="eastAsia" w:ascii="宋体" w:hAnsi="宋体" w:eastAsia="宋体" w:cs="宋体"/>
          <w:b/>
          <w:bCs w:val="0"/>
          <w:color w:val="auto"/>
          <w:sz w:val="24"/>
          <w:szCs w:val="24"/>
          <w:lang w:val="en-US" w:eastAsia="zh-CN"/>
        </w:rPr>
        <w:t xml:space="preserve">候选</w:t>
      </w:r>
      <w:r>
        <w:rPr>
          <w:rFonts w:hint="eastAsia" w:ascii="宋体" w:hAnsi="宋体" w:cs="宋体"/>
          <w:b/>
          <w:bCs w:val="0"/>
          <w:color w:val="auto"/>
          <w:sz w:val="24"/>
          <w:szCs w:val="24"/>
          <w:lang w:val="en-US" w:eastAsia="zh-CN"/>
        </w:rPr>
        <w:t xml:space="preserve">人</w:t>
      </w:r>
      <w:r>
        <w:rPr>
          <w:rFonts w:hint="eastAsia" w:ascii="宋体" w:hAnsi="宋体" w:eastAsia="宋体" w:cs="宋体"/>
          <w:b/>
          <w:bCs w:val="0"/>
          <w:color w:val="auto"/>
          <w:sz w:val="24"/>
          <w:szCs w:val="24"/>
          <w:lang w:val="en-US" w:eastAsia="zh-CN"/>
        </w:rPr>
        <w:t xml:space="preserve">，或重新采购。</w:t>
      </w:r>
      <w:r/>
    </w:p>
    <w:p>
      <w:pPr>
        <w:pStyle w:val="843"/>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26</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货物和服务的减少</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26.1采购结束后，招标人若由于各种客观原因，必须对采购项目所牵涉的货物和服务 进行适当的减少时，在双方协商一致的前提下，可以按照招标采购时的价格水平做相应的调减，并据此签订补充合同。</w:t>
      </w:r>
      <w:r/>
    </w:p>
    <w:p>
      <w:pPr>
        <w:pStyle w:val="843"/>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27.履约保证金</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27.1本项目供应商与采购单位签订合同前需缴纳</w:t>
      </w:r>
      <w:r>
        <w:rPr>
          <w:rFonts w:hint="eastAsia" w:ascii="宋体" w:hAnsi="宋体" w:eastAsia="宋体" w:cs="宋体"/>
          <w:bCs/>
          <w:color w:val="auto"/>
          <w:sz w:val="24"/>
          <w:szCs w:val="24"/>
          <w:highlight w:val="none"/>
          <w:lang w:val="en-US" w:eastAsia="zh-CN"/>
        </w:rPr>
        <w:t xml:space="preserve">合同金额</w:t>
      </w:r>
      <w:r>
        <w:rPr>
          <w:rFonts w:hint="eastAsia" w:ascii="宋体" w:hAnsi="宋体" w:eastAsia="宋体" w:cs="宋体"/>
          <w:bCs/>
          <w:color w:val="auto"/>
          <w:sz w:val="24"/>
          <w:szCs w:val="24"/>
          <w:u w:val="single"/>
          <w:lang w:val="en-US" w:eastAsia="zh-CN"/>
        </w:rPr>
        <w:t xml:space="preserve">1%</w:t>
      </w:r>
      <w:r>
        <w:rPr>
          <w:rFonts w:hint="eastAsia" w:ascii="宋体" w:hAnsi="宋体" w:eastAsia="宋体" w:cs="宋体"/>
          <w:bCs/>
          <w:color w:val="auto"/>
          <w:sz w:val="24"/>
          <w:szCs w:val="24"/>
          <w:lang w:val="en-US" w:eastAsia="zh-CN"/>
        </w:rPr>
        <w:t xml:space="preserve">的履约保证金。</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注：乙方选取以履约保函(保险)形式向采购人缴纳的，按照《关于在全省政府采购领域推行电子履约保函(保险)的通知》（苏财购</w:t>
      </w:r>
      <w:r>
        <w:rPr>
          <w:rFonts w:hint="eastAsia" w:ascii="宋体" w:hAnsi="宋体" w:cs="宋体"/>
          <w:bCs/>
          <w:color w:val="auto"/>
          <w:sz w:val="24"/>
          <w:szCs w:val="24"/>
          <w:lang w:val="en-US" w:eastAsia="zh-CN"/>
        </w:rPr>
        <w:t xml:space="preserve">〔2023〕150号</w:t>
      </w:r>
      <w:r>
        <w:rPr>
          <w:rFonts w:hint="eastAsia" w:ascii="宋体" w:hAnsi="宋体" w:eastAsia="宋体" w:cs="宋体"/>
          <w:bCs/>
          <w:color w:val="auto"/>
          <w:sz w:val="24"/>
          <w:szCs w:val="24"/>
          <w:lang w:val="en-US" w:eastAsia="zh-CN"/>
        </w:rPr>
        <w:t xml:space="preserve">)、《关于在全市公共资源交易领域全面推广应用数字人民币的通知》(淮协调办</w:t>
      </w:r>
      <w:r>
        <w:rPr>
          <w:rFonts w:hint="eastAsia" w:ascii="宋体" w:hAnsi="宋体" w:cs="宋体"/>
          <w:bCs/>
          <w:color w:val="auto"/>
          <w:sz w:val="24"/>
          <w:szCs w:val="24"/>
          <w:lang w:val="en-US" w:eastAsia="zh-CN"/>
        </w:rPr>
        <w:t xml:space="preserve">〔2023〕33号</w:t>
      </w:r>
      <w:r>
        <w:rPr>
          <w:rFonts w:hint="eastAsia" w:ascii="宋体" w:hAnsi="宋体" w:eastAsia="宋体" w:cs="宋体"/>
          <w:bCs/>
          <w:color w:val="auto"/>
          <w:sz w:val="24"/>
          <w:szCs w:val="24"/>
          <w:lang w:val="en-US" w:eastAsia="zh-CN"/>
        </w:rPr>
        <w:t xml:space="preserve">)的要求，登录“政府采购电子履约保函(保险)平台”选择第三方机构并提交保函(保险)申请，经审核通过后建议采用数字人民币形式支付相关费用。</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27.2</w:t>
      </w:r>
      <w:r>
        <w:rPr>
          <w:rFonts w:hint="eastAsia" w:ascii="宋体" w:hAnsi="宋体" w:eastAsia="宋体" w:cs="宋体"/>
          <w:bCs/>
          <w:color w:val="auto"/>
          <w:sz w:val="24"/>
          <w:szCs w:val="24"/>
          <w:lang w:val="en-US" w:eastAsia="zh-CN"/>
        </w:rPr>
        <w:t xml:space="preserve">乙方提供的履约保证金可以是人民币形式（银行本票、汇票、支票、电汇），或银行保函、担保公司的保证担保或保险公司的保证保险等多种形式。</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27.3</w:t>
      </w:r>
      <w:r>
        <w:rPr>
          <w:rFonts w:hint="eastAsia" w:ascii="宋体" w:hAnsi="宋体" w:eastAsia="宋体" w:cs="宋体"/>
          <w:bCs/>
          <w:color w:val="auto"/>
          <w:sz w:val="24"/>
          <w:szCs w:val="24"/>
          <w:lang w:val="en-US" w:eastAsia="zh-CN"/>
        </w:rPr>
        <w:t xml:space="preserve">乙方选取银行保函、担保公司的保证担保或保险公司的保证保险等形式的向采购人缴纳的，如保函（担保、保险等）的约定期到期但乙方履约仍未结束的，乙方须进行续保。</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27.4</w:t>
      </w:r>
      <w:r>
        <w:rPr>
          <w:rFonts w:hint="eastAsia" w:ascii="宋体" w:hAnsi="宋体" w:eastAsia="宋体" w:cs="宋体"/>
          <w:bCs/>
          <w:color w:val="auto"/>
          <w:sz w:val="24"/>
          <w:szCs w:val="24"/>
          <w:lang w:val="en-US" w:eastAsia="zh-CN"/>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27.</w:t>
      </w:r>
      <w:r>
        <w:rPr>
          <w:rFonts w:hint="eastAsia" w:ascii="宋体" w:hAnsi="宋体" w:eastAsia="宋体" w:cs="宋体"/>
          <w:bCs/>
          <w:color w:val="auto"/>
          <w:sz w:val="24"/>
          <w:szCs w:val="24"/>
          <w:lang w:val="en-US" w:eastAsia="zh-CN"/>
        </w:rPr>
        <w:t xml:space="preserve">5.如乙方未能履行合同规定的义务，甲方有权从履约保证金中取得补偿。</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27.</w:t>
      </w:r>
      <w:r>
        <w:rPr>
          <w:rFonts w:hint="eastAsia" w:ascii="宋体" w:hAnsi="宋体" w:eastAsia="宋体" w:cs="宋体"/>
          <w:bCs/>
          <w:color w:val="auto"/>
          <w:sz w:val="24"/>
          <w:szCs w:val="24"/>
          <w:lang w:val="en-US" w:eastAsia="zh-CN"/>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27.</w:t>
      </w:r>
      <w:r>
        <w:rPr>
          <w:rFonts w:hint="eastAsia" w:ascii="宋体" w:hAnsi="宋体" w:eastAsia="宋体" w:cs="宋体"/>
          <w:bCs/>
          <w:color w:val="auto"/>
          <w:sz w:val="24"/>
          <w:szCs w:val="24"/>
          <w:lang w:val="en-US" w:eastAsia="zh-CN"/>
        </w:rPr>
        <w:t xml:space="preserve">7.履约保证金在合同约定期间内不予退还或者应完全有效，履约保证金在项目验收合格后无息退还给乙方。</w:t>
      </w:r>
      <w:r/>
    </w:p>
    <w:p>
      <w:pPr>
        <w:pStyle w:val="843"/>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28.方案部分</w:t>
      </w:r>
      <w:r>
        <w:rPr>
          <w:rFonts w:hint="eastAsia" w:ascii="宋体" w:hAnsi="宋体" w:eastAsia="宋体" w:cs="宋体"/>
          <w:b/>
          <w:bCs w:val="0"/>
          <w:color w:val="auto"/>
          <w:sz w:val="24"/>
          <w:szCs w:val="24"/>
          <w:lang w:val="en-US" w:eastAsia="zh-CN"/>
        </w:rPr>
        <w:t xml:space="preserve">（如果本项目涉及的话）</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28.1本项目评标标准中的方案部分</w:t>
      </w:r>
      <w:r>
        <w:rPr>
          <w:rFonts w:hint="eastAsia" w:ascii="宋体" w:hAnsi="宋体" w:eastAsia="宋体" w:cs="宋体"/>
          <w:b/>
          <w:bCs w:val="0"/>
          <w:color w:val="auto"/>
          <w:sz w:val="24"/>
          <w:szCs w:val="24"/>
          <w:u w:val="single"/>
          <w:lang w:val="en-US" w:eastAsia="zh-CN"/>
        </w:rPr>
        <w:t xml:space="preserve">不</w:t>
      </w:r>
      <w:r>
        <w:rPr>
          <w:rFonts w:hint="eastAsia" w:ascii="宋体" w:hAnsi="宋体" w:eastAsia="宋体" w:cs="宋体"/>
          <w:bCs/>
          <w:color w:val="auto"/>
          <w:sz w:val="24"/>
          <w:szCs w:val="24"/>
          <w:lang w:val="en-US" w:eastAsia="zh-CN"/>
        </w:rPr>
        <w:t xml:space="preserve">采用暗标方式进行评审：</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28.2方案部分采用暗标方式进行评审的编制要求：</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宋体" w:hAnsi="宋体" w:cs="宋体"/>
          <w:bCs/>
          <w:color w:val="auto"/>
          <w:sz w:val="24"/>
          <w:szCs w:val="24"/>
          <w:lang w:val="en-US" w:eastAsia="zh-CN"/>
        </w:rPr>
        <w:t xml:space="preserve">供应商</w:t>
      </w:r>
      <w:r>
        <w:rPr>
          <w:rFonts w:hint="eastAsia" w:ascii="宋体" w:hAnsi="宋体" w:eastAsia="宋体" w:cs="宋体"/>
          <w:bCs/>
          <w:color w:val="auto"/>
          <w:sz w:val="24"/>
          <w:szCs w:val="24"/>
          <w:lang w:val="en-US" w:eastAsia="zh-CN"/>
        </w:rPr>
        <w:t xml:space="preserve">方案部分能够正常显示的，即视为“苏采云”系统方案部分暗标功能运行无故障。</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28.3方案部分采用暗标方式的，</w:t>
      </w:r>
      <w:r>
        <w:rPr>
          <w:rFonts w:hint="eastAsia" w:ascii="宋体" w:hAnsi="宋体" w:cs="宋体"/>
          <w:bCs/>
          <w:color w:val="auto"/>
          <w:sz w:val="24"/>
          <w:szCs w:val="24"/>
          <w:lang w:val="en-US" w:eastAsia="zh-CN"/>
        </w:rPr>
        <w:t xml:space="preserve">供应商</w:t>
      </w:r>
      <w:r>
        <w:rPr>
          <w:rFonts w:hint="eastAsia" w:ascii="宋体" w:hAnsi="宋体" w:eastAsia="宋体" w:cs="宋体"/>
          <w:bCs/>
          <w:color w:val="auto"/>
          <w:sz w:val="24"/>
          <w:szCs w:val="24"/>
          <w:lang w:val="en-US" w:eastAsia="zh-CN"/>
        </w:rPr>
        <w:t xml:space="preserve">需按28.2的要求编制方案。经三分之二评委认定，</w:t>
      </w:r>
      <w:r>
        <w:rPr>
          <w:rFonts w:hint="eastAsia" w:ascii="宋体" w:hAnsi="宋体" w:cs="宋体"/>
          <w:bCs/>
          <w:color w:val="auto"/>
          <w:sz w:val="24"/>
          <w:szCs w:val="24"/>
          <w:lang w:val="en-US" w:eastAsia="zh-CN"/>
        </w:rPr>
        <w:t xml:space="preserve">供应商</w:t>
      </w:r>
      <w:r>
        <w:rPr>
          <w:rFonts w:hint="eastAsia" w:ascii="宋体" w:hAnsi="宋体" w:eastAsia="宋体" w:cs="宋体"/>
          <w:bCs/>
          <w:color w:val="auto"/>
          <w:sz w:val="24"/>
          <w:szCs w:val="24"/>
          <w:lang w:val="en-US" w:eastAsia="zh-CN"/>
        </w:rPr>
        <w:t xml:space="preserve">未按28.2的要求编制方案的，按未提供方案处理。</w:t>
      </w:r>
      <w:r/>
    </w:p>
    <w:p>
      <w:pPr>
        <w:pStyle w:val="843"/>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七、质疑处理</w:t>
      </w:r>
      <w:r/>
    </w:p>
    <w:p>
      <w:pPr>
        <w:pStyle w:val="843"/>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质疑处理</w:t>
      </w:r>
      <w:r/>
    </w:p>
    <w:p>
      <w:pPr>
        <w:pStyle w:val="843"/>
        <w:ind w:left="0" w:firstLine="480"/>
        <w:keepLines w:val="0"/>
        <w:keepNext w:val="0"/>
        <w:pageBreakBefore w:val="0"/>
        <w:spacing w:before="0" w:after="0" w:line="360" w:lineRule="auto"/>
        <w:widowControl/>
        <w:rPr>
          <w:rFonts w:hint="eastAsia" w:ascii="宋体" w:hAnsi="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29.1</w:t>
      </w:r>
      <w:r>
        <w:rPr>
          <w:rFonts w:hint="eastAsia" w:ascii="宋体" w:hAnsi="宋体" w:cs="宋体"/>
          <w:bCs/>
          <w:color w:val="auto"/>
          <w:sz w:val="24"/>
          <w:szCs w:val="24"/>
          <w:lang w:val="en-US" w:eastAsia="zh-CN"/>
        </w:rPr>
        <w:t xml:space="preserve">供应商认为采购文件、采购过程和中标结果使自己的权益受到损害的，可以在知道或者应知其权益受到损害之日起七个工作日内，以书面形式提出质疑；同时必须将质疑函的原件邮寄至招标人（招标代理）。未以书面形式提出、未邮寄质疑函原件、七个工作日之外以及匿名的质疑均不予受理。</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29.2上述应知其权益受到损害之日是指</w:t>
      </w:r>
      <w:r>
        <w:rPr>
          <w:rFonts w:hint="eastAsia" w:ascii="宋体" w:hAnsi="宋体" w:cs="宋体"/>
          <w:bCs/>
          <w:color w:val="auto"/>
          <w:sz w:val="24"/>
          <w:szCs w:val="24"/>
          <w:lang w:val="en-US" w:eastAsia="zh-CN"/>
        </w:rPr>
        <w:t xml:space="preserve">：</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（1）对招标文件提出质疑的，为收到招标文件之日或者招标文件公告期限届满之日起计算；</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（2）对招标过程提出质疑的，为各招标程序环节结束之日起计算；</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（3）对中标结果提出质疑的，为中标结果公告期限届满之日起计算。</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29.3质疑投标人是指直接参加本次投标活动的投标人，未参加投标活动的投标人或在投标活动中自身权益未受到损害的投标人所提出的质疑不予受理。</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lang w:val="en-US" w:eastAsia="zh-CN"/>
        </w:rPr>
        <w:t xml:space="preserve">29.4 </w:t>
      </w:r>
      <w:r>
        <w:rPr>
          <w:rFonts w:hint="eastAsia" w:ascii="宋体" w:hAnsi="宋体" w:eastAsia="宋体" w:cs="宋体"/>
          <w:bCs/>
          <w:color w:val="auto"/>
          <w:sz w:val="24"/>
          <w:szCs w:val="24"/>
          <w:highlight w:val="none"/>
          <w:lang w:val="en-US" w:eastAsia="zh-CN"/>
        </w:rPr>
        <w:t xml:space="preserve">质疑投标人在法定质疑期内应当一次性针对同一采购环节提出质疑，若质疑投标人针对同一环节提出两次及两次以上质疑，仅受理第一次提出的质疑。</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29.5质疑函必须以参加投标</w:t>
      </w:r>
      <w:r>
        <w:rPr>
          <w:rFonts w:hint="eastAsia" w:ascii="宋体" w:hAnsi="宋体" w:cs="宋体"/>
          <w:bCs/>
          <w:color w:val="auto"/>
          <w:sz w:val="24"/>
          <w:szCs w:val="24"/>
          <w:lang w:val="en-US" w:eastAsia="zh-CN"/>
        </w:rPr>
        <w:t xml:space="preserve">的</w:t>
      </w:r>
      <w:r>
        <w:rPr>
          <w:rFonts w:hint="eastAsia" w:ascii="宋体" w:hAnsi="宋体" w:eastAsia="宋体" w:cs="宋体"/>
          <w:bCs/>
          <w:color w:val="auto"/>
          <w:sz w:val="24"/>
          <w:szCs w:val="24"/>
          <w:lang w:val="en-US" w:eastAsia="zh-CN"/>
        </w:rPr>
        <w:t xml:space="preserve">投标人</w:t>
      </w:r>
      <w:r>
        <w:rPr>
          <w:rFonts w:hint="eastAsia" w:ascii="宋体" w:hAnsi="宋体" w:cs="宋体"/>
          <w:bCs/>
          <w:color w:val="auto"/>
          <w:sz w:val="24"/>
          <w:szCs w:val="24"/>
          <w:lang w:val="en-US" w:eastAsia="zh-CN"/>
        </w:rPr>
        <w:t xml:space="preserve">的</w:t>
      </w:r>
      <w:r>
        <w:rPr>
          <w:rFonts w:hint="eastAsia" w:ascii="宋体" w:hAnsi="宋体" w:eastAsia="宋体" w:cs="宋体"/>
          <w:bCs/>
          <w:color w:val="auto"/>
          <w:sz w:val="24"/>
          <w:szCs w:val="24"/>
          <w:lang w:val="en-US" w:eastAsia="zh-CN"/>
        </w:rPr>
        <w:t xml:space="preserve">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招标人（代理机构）有权不予受理。</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29.6质疑函应当包括以下主要内容，并按照“谁主张、谁举证 ”的原则，附上相关证明材料。否则，招标人（代理机构）不予受理。</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（1）质疑投标人的名称、地址、邮编、联系人及联系电话；</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（2）质疑项目的名称、编号；</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（3）具体、明确的质疑事项和与质疑事实相关的请求；</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（4）事实依据；</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（5）必要的法律依据；</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（6）提起质疑的日期；</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【质疑函必须署名，由法定代表人或者其授权代表签字，并加盖单位公章。授权代表签字的，还需提供法定代表人出具的办理质疑事项授权书（授权中必须载明具体权限、期限和事项）】</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29.7招标人（代理机构）收到质疑函后，将对质疑的形式和内容进行审查，如质疑函内容、格式不符合规定，招标人（代理机构）将告知质疑人进行补正。质疑人应当在法定质疑期限内进行补正并重新提交质疑函，拒不补正或者超过法定期限后未重新提交质疑函的，为无效质疑，招标人有权不予受理。</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29.8对于内容、格式符合规定的质疑函，招标人（代理机构）将在七个工作日内以书面形式作出答复。</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29.9投标人提出书面质疑必须有理</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有据，不得恶意质疑或提交虚假质疑。否则，一 经查实，招标人有权依据政府采购的有关规定，报请政府采购监管部门对该投标人列入失信行为或不良行为记录名单，进行相应的行政处罚。</w:t>
      </w:r>
      <w:r/>
    </w:p>
    <w:p>
      <w:pPr>
        <w:pStyle w:val="843"/>
        <w:keepLines w:val="0"/>
        <w:keepNext w:val="0"/>
        <w:pageBreakBefore w:val="0"/>
        <w:spacing w:before="0" w:after="0" w:line="360" w:lineRule="auto"/>
        <w:widowControl/>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30</w:t>
      </w:r>
      <w:r>
        <w:rPr>
          <w:rFonts w:hint="eastAsia" w:ascii="宋体" w:hAnsi="宋体" w:cs="宋体"/>
          <w:b/>
          <w:bCs w:val="0"/>
          <w:color w:val="auto"/>
          <w:sz w:val="24"/>
          <w:szCs w:val="24"/>
          <w:lang w:val="en-US" w:eastAsia="zh-CN"/>
        </w:rPr>
        <w:t xml:space="preserve">.</w:t>
      </w:r>
      <w:r>
        <w:rPr>
          <w:rFonts w:hint="eastAsia" w:ascii="宋体" w:hAnsi="宋体" w:eastAsia="宋体" w:cs="宋体"/>
          <w:b/>
          <w:bCs w:val="0"/>
          <w:color w:val="auto"/>
          <w:sz w:val="24"/>
          <w:szCs w:val="24"/>
          <w:lang w:val="en-US" w:eastAsia="zh-CN"/>
        </w:rPr>
        <w:t xml:space="preserve">节能、环保政策</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30.1节能产品（本项目不涉及）</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本项目(采购产品)被列入“节能产品品目清单”的，实行（优先采购/强制采购）。</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30.2环保产品</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yellow"/>
          <w:lang w:val="en-US" w:eastAsia="zh-CN"/>
        </w:rPr>
      </w:pPr>
      <w:r>
        <w:rPr>
          <w:rFonts w:hint="eastAsia" w:ascii="宋体" w:hAnsi="宋体" w:eastAsia="宋体" w:cs="宋体"/>
          <w:bCs/>
          <w:color w:val="auto"/>
          <w:sz w:val="24"/>
          <w:szCs w:val="24"/>
          <w:highlight w:val="none"/>
          <w:lang w:val="en-US" w:eastAsia="zh-CN"/>
        </w:rPr>
        <w:t xml:space="preserve">本项目中</w:t>
      </w:r>
      <w:r>
        <w:rPr>
          <w:rFonts w:hint="eastAsia" w:ascii="宋体" w:hAnsi="宋体" w:eastAsia="宋体" w:cs="宋体"/>
          <w:bCs/>
          <w:color w:val="auto"/>
          <w:sz w:val="24"/>
          <w:szCs w:val="24"/>
          <w:highlight w:val="none"/>
          <w:u w:val="single"/>
          <w:lang w:val="en-US" w:eastAsia="zh-CN"/>
        </w:rPr>
        <w:t xml:space="preserve">网络服务器、运维硬件服务器、交通事件检测智能服务器、流媒体节点服务器、数据智能云存储服务器、应用管理服务器</w:t>
      </w:r>
      <w:r>
        <w:rPr>
          <w:rFonts w:hint="eastAsia" w:ascii="宋体" w:hAnsi="宋体" w:eastAsia="宋体" w:cs="宋体"/>
          <w:bCs/>
          <w:color w:val="auto"/>
          <w:sz w:val="24"/>
          <w:szCs w:val="24"/>
          <w:highlight w:val="none"/>
          <w:lang w:val="en-US" w:eastAsia="zh-CN"/>
        </w:rPr>
        <w:t xml:space="preserve">被列入“环境标志产品品目清单”的，实行优先采购。</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30.3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30.4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31.政府绿色采购 </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根据《江苏省财政厅关于加强政府绿色采购有关事项的通知》（苏财购〔2023〕65号）的要求，落实政府绿色采购相关政策，具体如下：</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31.1本项目为货物类采购项目的，所提供的产品需综合考虑节能环保、节水、循环再生、低碳、有机等因素；本项目为物业、合同能源管理等服务类采购项目的，应在服务中加强绿色低碳管理。</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31.2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31.3本项目中涉及涂料、胶黏剂、油墨、清洗剂等挥发性有机物产品的，要执行国家和江苏省VOCs含量限制标准，优先使用低挥发性原辅材料，使用低VOCs含量的涂料、胶黏剂等。</w:t>
      </w:r>
      <w:r/>
    </w:p>
    <w:p>
      <w:pPr>
        <w:pStyle w:val="843"/>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32</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政府采购履约资金扶持政策</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32.1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43"/>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32.2有融资贷款需求的中标人，与采购人在苏采云【合同在线签订】模块中进行合同在线签订时，【账户信息完善】的“是否融资”一栏中需选择“是”，同时完善收款账号信息和合同补充协议（融资账号）。</w:t>
      </w:r>
      <w:r/>
    </w:p>
    <w:p>
      <w:pPr>
        <w:pStyle w:val="843"/>
        <w:keepLines w:val="0"/>
        <w:keepNext w:val="0"/>
        <w:pageBreakBefore w:val="0"/>
        <w:spacing w:before="0" w:after="0" w:line="360" w:lineRule="auto"/>
        <w:widowControl/>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33.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pStyle w:val="843"/>
        <w:keepLines w:val="0"/>
        <w:keepNext w:val="0"/>
        <w:pageBreakBefore w:val="0"/>
        <w:spacing w:before="0" w:after="0" w:line="360" w:lineRule="auto"/>
        <w:widowControl/>
        <w:rPr>
          <w:rFonts w:hint="default" w:ascii="宋体" w:hAnsi="宋体" w:eastAsia="宋体" w:cs="宋体"/>
          <w:bCs/>
          <w:color w:val="auto"/>
          <w:sz w:val="24"/>
          <w:szCs w:val="24"/>
          <w:lang w:val="en-US" w:eastAsia="zh-CN"/>
        </w:rPr>
      </w:pPr>
      <w:r>
        <w:rPr>
          <w:rFonts w:hint="default" w:ascii="宋体" w:hAnsi="宋体" w:eastAsia="宋体" w:cs="宋体"/>
          <w:bCs/>
          <w:color w:val="auto"/>
          <w:sz w:val="24"/>
          <w:szCs w:val="24"/>
          <w:lang w:val="en-US" w:eastAsia="zh-CN"/>
        </w:rPr>
      </w:r>
      <w:r/>
    </w:p>
    <w:p>
      <w:pPr>
        <w:keepNext w:val="0"/>
        <w:pageBreakBefore w:val="0"/>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br w:type="page" w:clear="all"/>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第三章  </w:t>
      </w:r>
      <w:r>
        <w:rPr>
          <w:rFonts w:hint="eastAsia" w:ascii="宋体" w:hAnsi="宋体" w:cs="宋体"/>
          <w:b/>
          <w:color w:val="auto"/>
          <w:sz w:val="36"/>
          <w:szCs w:val="36"/>
          <w:lang w:eastAsia="zh-CN"/>
        </w:rPr>
        <w:t xml:space="preserve">评标</w:t>
      </w:r>
      <w:r>
        <w:rPr>
          <w:rFonts w:hint="eastAsia" w:ascii="宋体" w:hAnsi="宋体" w:eastAsia="宋体" w:cs="宋体"/>
          <w:b/>
          <w:color w:val="auto"/>
          <w:sz w:val="36"/>
          <w:szCs w:val="36"/>
        </w:rPr>
        <w:t xml:space="preserve">标准</w:t>
      </w:r>
      <w:r/>
    </w:p>
    <w:p>
      <w:pPr>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一、本项目采用综合评分法。</w:t>
      </w:r>
      <w:r/>
    </w:p>
    <w:p>
      <w:pPr>
        <w:ind w:firstLine="47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评委会仅对确定为实质上响应招标文件要求的投标文件进行评价和比较。综合评分法，是指投标文件满足招标文件全部实质性要求</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且按照评审因素的量化指标评审得分最高的投标人为中标候选人的评标方法。</w:t>
      </w:r>
      <w:r/>
    </w:p>
    <w:p>
      <w:pPr>
        <w:numPr>
          <w:ilvl w:val="0"/>
          <w:numId w:val="0"/>
        </w:numPr>
        <w:ind w:left="0" w:firstLine="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 xml:space="preserve">二、</w:t>
      </w:r>
      <w:r>
        <w:rPr>
          <w:rFonts w:hint="eastAsia" w:ascii="宋体" w:hAnsi="宋体" w:eastAsia="宋体" w:cs="宋体"/>
          <w:b/>
          <w:bCs/>
          <w:color w:val="auto"/>
          <w:sz w:val="24"/>
          <w:szCs w:val="24"/>
          <w:lang w:val="zh-CN"/>
        </w:rPr>
        <w:t xml:space="preserve">政府采购促进中小企业发展</w:t>
      </w:r>
      <w:r>
        <w:rPr>
          <w:rFonts w:hint="eastAsia" w:ascii="宋体" w:hAnsi="宋体" w:eastAsia="宋体" w:cs="宋体"/>
          <w:color w:val="auto"/>
          <w:sz w:val="24"/>
          <w:szCs w:val="24"/>
          <w:lang w:val="zh-CN"/>
        </w:rPr>
        <w:t xml:space="preserve">，小企业</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含小型、微型企业</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提供的产品和服务在评标时将获得优势，参加投标</w:t>
      </w:r>
      <w:r>
        <w:rPr>
          <w:rFonts w:hint="eastAsia" w:ascii="宋体" w:hAnsi="宋体" w:cs="宋体"/>
          <w:color w:val="auto"/>
          <w:sz w:val="24"/>
          <w:szCs w:val="24"/>
          <w:lang w:val="zh-CN"/>
        </w:rPr>
        <w:t xml:space="preserve">的中</w:t>
      </w:r>
      <w:r>
        <w:rPr>
          <w:rFonts w:hint="eastAsia" w:ascii="宋体" w:hAnsi="宋体" w:eastAsia="宋体" w:cs="宋体"/>
          <w:color w:val="auto"/>
          <w:sz w:val="24"/>
          <w:szCs w:val="24"/>
          <w:lang w:val="zh-CN"/>
        </w:rPr>
        <w:t xml:space="preserve">小企业，应当按照《政府采购促进中小企业发展暂行办法》[财库〔2020〕46号]的规定，提供《中小企业声明函》，声明函格式详见招标文件第六章示范格式。</w:t>
      </w:r>
      <w:bookmarkEnd w:id="8"/>
      <w:r/>
      <w:bookmarkStart w:id="9" w:name="_Toc4620_WPSOffice_Level1"/>
      <w:r/>
      <w:r/>
    </w:p>
    <w:p>
      <w:pPr>
        <w:numPr>
          <w:ilvl w:val="0"/>
          <w:numId w:val="0"/>
        </w:numPr>
        <w:ind w:left="0" w:firstLine="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政府采购政策功能落实。</w:t>
      </w:r>
      <w:r/>
    </w:p>
    <w:p>
      <w:pPr>
        <w:ind w:firstLine="482"/>
        <w:keepLines w:val="0"/>
        <w:keepNext w:val="0"/>
        <w:pageBreakBefore w:val="0"/>
        <w:spacing w:line="360" w:lineRule="auto"/>
        <w:widowControl w:val="off"/>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一</w:t>
      </w:r>
      <w:r>
        <w:rPr>
          <w:rFonts w:hint="eastAsia" w:ascii="宋体" w:hAnsi="宋体" w:cs="宋体"/>
          <w:b/>
          <w:bCs/>
          <w:color w:val="auto"/>
          <w:sz w:val="24"/>
          <w:szCs w:val="24"/>
          <w:lang w:eastAsia="zh-CN"/>
        </w:rPr>
        <w:t xml:space="preserve">）小微型企业价格扣除</w:t>
      </w:r>
      <w:r/>
    </w:p>
    <w:p>
      <w:pPr>
        <w:ind w:firstLine="470"/>
        <w:keepNext w:val="0"/>
        <w:pageBreakBefore w:val="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p>
    <w:p>
      <w:pPr>
        <w:ind w:firstLine="47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）在货物采购项目中，货物由中小企业制造，即货物由中小企业生产且使用该中小企业商号或者注册商标；</w:t>
      </w:r>
      <w:r/>
    </w:p>
    <w:p>
      <w:pPr>
        <w:ind w:firstLine="47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）在服务采购项目中，服务由中小企业承接，即提供服务的人员为中小企业依照《中华人民共和国劳动合同法》订立劳动合同的从业人员。</w:t>
      </w:r>
      <w:r/>
    </w:p>
    <w:p>
      <w:pPr>
        <w:ind w:firstLine="470"/>
        <w:keepNext w:val="0"/>
        <w:pageBreakBefore w:val="0"/>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2.在货物采购项目中，供应商提供的货物既有中小企业制造货物，也有大型企业制造货物的，不享受本办法规定的中小企业扶持政策。</w:t>
      </w:r>
      <w:r/>
    </w:p>
    <w:p>
      <w:pPr>
        <w:ind w:firstLine="482"/>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（二）联合体及分包</w:t>
      </w:r>
      <w:r/>
    </w:p>
    <w:p>
      <w:pPr>
        <w:ind w:firstLine="470"/>
        <w:keepNext w:val="0"/>
        <w:pageBreakBefore w:val="0"/>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1.以联合体形式参加政府采购活动，联合体各方均为中小企业的，联合体视同中小企业。其中，联合体各方均为小微企业的，联合体视同小微企业。</w:t>
      </w:r>
      <w:r/>
    </w:p>
    <w:p>
      <w:pPr>
        <w:ind w:firstLine="470"/>
        <w:keepNext w:val="0"/>
        <w:pageBreakBefore w:val="0"/>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2.享受扶持政策获得政府采购合同的，小微企业不得将合同分包给大中型企业，中型企业不得将合同分包给大型企业。</w:t>
      </w:r>
      <w:r/>
    </w:p>
    <w:p>
      <w:pPr>
        <w:ind w:firstLine="470"/>
        <w:keepNext w:val="0"/>
        <w:pageBreakBefore w:val="0"/>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70"/>
        <w:keepNext w:val="0"/>
        <w:pageBreakBefore w:val="0"/>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2"/>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（三）小微型企业</w:t>
      </w:r>
      <w:r/>
    </w:p>
    <w:p>
      <w:pPr>
        <w:ind w:firstLine="480"/>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1.投标人须按照招标文件的要求提供相应的《企业声明函》，详见招标文件第六章示范格式。</w:t>
      </w:r>
      <w:r/>
    </w:p>
    <w:p>
      <w:pPr>
        <w:ind w:firstLine="480"/>
        <w:keepLines w:val="0"/>
        <w:keepNext w:val="0"/>
        <w:pageBreakBefore w:val="0"/>
        <w:spacing w:line="360" w:lineRule="auto"/>
        <w:widowControl w:val="off"/>
        <w:rPr>
          <w:rFonts w:hint="default"/>
          <w:color w:val="auto"/>
          <w:lang w:val="en-US" w:eastAsia="zh-CN"/>
        </w:rPr>
      </w:pPr>
      <w:r>
        <w:rPr>
          <w:rFonts w:hint="eastAsia" w:ascii="宋体" w:hAnsi="宋体" w:cs="宋体"/>
          <w:b w:val="0"/>
          <w:bCs w:val="0"/>
          <w:color w:val="auto"/>
          <w:sz w:val="24"/>
          <w:szCs w:val="24"/>
          <w:lang w:val="en-US" w:eastAsia="zh-CN"/>
        </w:rPr>
        <w:t xml:space="preserve">2.企业标准请参照《政府采购促进中小企业发展管理办法》（财库〔2020〕46号）文件规定自行填写。</w:t>
      </w:r>
      <w:r/>
    </w:p>
    <w:p>
      <w:pPr>
        <w:ind w:firstLine="482"/>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（四）残疾人福利单位</w:t>
      </w:r>
      <w:r/>
    </w:p>
    <w:p>
      <w:pPr>
        <w:ind w:firstLine="480"/>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1.本项目对残疾人福利性单位视同小型、微型企业。</w:t>
      </w:r>
      <w:r/>
    </w:p>
    <w:p>
      <w:pPr>
        <w:ind w:firstLine="480"/>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2.残疾人福利单位需按照招标文件的要求提供《残疾人福利性单位声明函》，详见招标文件第六章示范格式。</w:t>
      </w:r>
      <w:r/>
    </w:p>
    <w:p>
      <w:pPr>
        <w:ind w:firstLine="480"/>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3.残疾人福利单位标准请参照《关于促进残疾人就业政府采购政策的通知》（财库〔2017〕141号）。</w:t>
      </w:r>
      <w:r/>
    </w:p>
    <w:p>
      <w:pPr>
        <w:ind w:firstLine="482"/>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（五）监狱和戒毒企业</w:t>
      </w:r>
      <w:r/>
    </w:p>
    <w:p>
      <w:pPr>
        <w:ind w:firstLine="480"/>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1.本项目对监狱和戒毒企业（简称监狱企业）视同小型、微型企业。</w:t>
      </w:r>
      <w:r/>
    </w:p>
    <w:p>
      <w:pPr>
        <w:ind w:firstLine="480"/>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2.监狱企业参加政府采购活动时，需提供由省级以上监狱管理局、戒毒管理局（含新疆生产建设兵团）出具的属于监狱企业的证明文件）（投标文件中上传加盖出具单位公章的电子件）。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3.监狱企业标准请参照《关于政府采购支持监狱企业发展有关问题的通知》（财库〔2014〕68号）。</w:t>
      </w:r>
      <w:r/>
    </w:p>
    <w:p>
      <w:pPr>
        <w:ind w:firstLine="482"/>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bCs/>
          <w:color w:val="auto"/>
          <w:sz w:val="24"/>
          <w:szCs w:val="24"/>
          <w:lang w:val="en-US" w:eastAsia="zh-CN"/>
        </w:rPr>
        <w:t xml:space="preserve">（六）</w:t>
      </w:r>
      <w:r>
        <w:rPr>
          <w:rFonts w:hint="eastAsia" w:ascii="宋体" w:hAnsi="宋体" w:cs="宋体"/>
          <w:b w:val="0"/>
          <w:bCs w:val="0"/>
          <w:color w:val="auto"/>
          <w:sz w:val="24"/>
          <w:szCs w:val="24"/>
          <w:lang w:val="en-US" w:eastAsia="zh-CN"/>
        </w:rPr>
        <w:t xml:space="preserve">对于同时属于小型、微型企业、残疾人福利单位、监狱企业的，不重复享受政策。中小企业划型标准详见《关于印发中小企业划型标准规定的通知》（工信部联企业〔2011〕300号）及《国家统计局关于印发统计上大中小微型企业划分办法的通知》（国统字〔2017〕213号）。</w:t>
      </w:r>
      <w:r/>
    </w:p>
    <w:p>
      <w:pPr>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bCs/>
          <w:color w:val="auto"/>
          <w:sz w:val="24"/>
          <w:szCs w:val="24"/>
          <w:lang w:val="en-US" w:eastAsia="zh-CN"/>
        </w:rPr>
        <w:t xml:space="preserve">四、</w:t>
      </w:r>
      <w:r>
        <w:rPr>
          <w:rFonts w:hint="eastAsia" w:ascii="宋体" w:hAnsi="宋体" w:cs="宋体"/>
          <w:b w:val="0"/>
          <w:bCs w:val="0"/>
          <w:color w:val="auto"/>
          <w:sz w:val="24"/>
          <w:szCs w:val="24"/>
          <w:lang w:val="en-US" w:eastAsia="zh-CN"/>
        </w:rPr>
        <w:t xml:space="preserve">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p>
    <w:p>
      <w:pPr>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五、具体标准：</w:t>
      </w:r>
      <w:r/>
    </w:p>
    <w:tbl>
      <w:tblPr>
        <w:tblStyle w:val="8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965"/>
        <w:gridCol w:w="6570"/>
        <w:gridCol w:w="722"/>
      </w:tblGrid>
      <w:tr>
        <w:trPr>
          <w:jc w:val="center"/>
          <w:trHeight w:val="578"/>
        </w:trPr>
        <w:tc>
          <w:tcPr>
            <w:tcW w:w="354" w:type="pct"/>
            <w:vAlign w:val="center"/>
            <w:textDirection w:val="lrTb"/>
            <w:noWrap w:val="false"/>
          </w:tcPr>
          <w:p>
            <w:pPr>
              <w:pStyle w:val="814"/>
              <w:ind w:firstLine="0"/>
              <w:jc w:val="center"/>
              <w:spacing w:line="360" w:lineRule="exact"/>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W w:w="986" w:type="pct"/>
            <w:vAlign w:val="center"/>
            <w:textDirection w:val="lrTb"/>
            <w:noWrap w:val="false"/>
          </w:tcPr>
          <w:p>
            <w:pPr>
              <w:pStyle w:val="814"/>
              <w:ind w:firstLine="422"/>
              <w:jc w:val="center"/>
              <w:spacing w:line="360" w:lineRule="exact"/>
              <w:rPr>
                <w:rFonts w:ascii="宋体" w:hAnsi="宋体" w:eastAsia="宋体" w:cs="宋体"/>
                <w:b/>
                <w:bCs/>
                <w:sz w:val="24"/>
                <w:szCs w:val="24"/>
              </w:rPr>
            </w:pPr>
            <w:r>
              <w:rPr>
                <w:rFonts w:hint="eastAsia" w:ascii="宋体" w:hAnsi="宋体" w:eastAsia="宋体" w:cs="宋体"/>
                <w:b/>
                <w:bCs/>
                <w:sz w:val="24"/>
                <w:szCs w:val="24"/>
              </w:rPr>
              <w:t xml:space="preserve">评分项</w:t>
            </w:r>
            <w:r/>
          </w:p>
        </w:tc>
        <w:tc>
          <w:tcPr>
            <w:tcW w:w="3296" w:type="pct"/>
            <w:vAlign w:val="center"/>
            <w:textDirection w:val="lrTb"/>
            <w:noWrap w:val="false"/>
          </w:tcPr>
          <w:p>
            <w:pPr>
              <w:pStyle w:val="814"/>
              <w:ind w:firstLine="422"/>
              <w:jc w:val="center"/>
              <w:spacing w:line="360" w:lineRule="exact"/>
              <w:rPr>
                <w:rFonts w:ascii="宋体" w:hAnsi="宋体" w:eastAsia="宋体" w:cs="宋体"/>
                <w:b/>
                <w:bCs/>
                <w:sz w:val="24"/>
                <w:szCs w:val="24"/>
              </w:rPr>
            </w:pPr>
            <w:r>
              <w:rPr>
                <w:rFonts w:hint="eastAsia" w:ascii="宋体" w:hAnsi="宋体" w:eastAsia="宋体" w:cs="宋体"/>
                <w:b/>
                <w:bCs/>
                <w:sz w:val="24"/>
                <w:szCs w:val="24"/>
              </w:rPr>
              <w:t xml:space="preserve">评分标准</w:t>
            </w:r>
            <w:r/>
          </w:p>
        </w:tc>
        <w:tc>
          <w:tcPr>
            <w:tcW w:w="362" w:type="pct"/>
            <w:vAlign w:val="center"/>
            <w:textDirection w:val="lrTb"/>
            <w:noWrap w:val="false"/>
          </w:tcPr>
          <w:p>
            <w:pPr>
              <w:pStyle w:val="814"/>
              <w:ind w:firstLine="0"/>
              <w:jc w:val="center"/>
              <w:spacing w:line="360" w:lineRule="exact"/>
              <w:rPr>
                <w:rFonts w:ascii="宋体" w:hAnsi="宋体" w:eastAsia="宋体" w:cs="宋体"/>
                <w:b/>
                <w:bCs/>
                <w:sz w:val="24"/>
                <w:szCs w:val="24"/>
              </w:rPr>
            </w:pPr>
            <w:r>
              <w:rPr>
                <w:rFonts w:hint="eastAsia" w:ascii="宋体" w:hAnsi="宋体" w:eastAsia="宋体" w:cs="宋体"/>
                <w:b/>
                <w:bCs/>
                <w:sz w:val="24"/>
                <w:szCs w:val="24"/>
              </w:rPr>
              <w:t xml:space="preserve">分值</w:t>
            </w:r>
            <w:r/>
          </w:p>
        </w:tc>
      </w:tr>
      <w:tr>
        <w:trPr>
          <w:jc w:val="center"/>
          <w:trHeight w:val="1325"/>
        </w:trPr>
        <w:tc>
          <w:tcPr>
            <w:tcW w:w="354" w:type="pct"/>
            <w:vAlign w:val="center"/>
            <w:textDirection w:val="lrTb"/>
            <w:noWrap w:val="false"/>
          </w:tcPr>
          <w:p>
            <w:pPr>
              <w:pStyle w:val="814"/>
              <w:ind w:firstLine="0"/>
              <w:jc w:val="center"/>
              <w:spacing w:line="36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986" w:type="pct"/>
            <w:vAlign w:val="center"/>
            <w:textDirection w:val="lrTb"/>
            <w:noWrap w:val="false"/>
          </w:tcPr>
          <w:p>
            <w:pPr>
              <w:pStyle w:val="814"/>
              <w:jc w:val="both"/>
              <w:spacing w:line="36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投标报价</w:t>
            </w:r>
            <w:r/>
          </w:p>
          <w:p>
            <w:pPr>
              <w:pStyle w:val="814"/>
              <w:jc w:val="both"/>
              <w:spacing w:line="360" w:lineRule="exact"/>
              <w:rPr>
                <w:rFonts w:ascii="宋体" w:hAnsi="宋体" w:eastAsia="宋体" w:cs="宋体"/>
                <w:color w:val="000000" w:themeColor="text1"/>
                <w:sz w:val="24"/>
                <w:szCs w:val="24"/>
                <w:highlight w:val="red"/>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30</w:t>
            </w:r>
            <w:r>
              <w:rPr>
                <w:rFonts w:hint="eastAsia" w:ascii="宋体" w:hAnsi="宋体" w:eastAsia="宋体" w:cs="宋体"/>
                <w:color w:val="000000" w:themeColor="text1"/>
                <w:sz w:val="24"/>
                <w:szCs w:val="24"/>
                <w14:textFill>
                  <w14:solidFill>
                    <w14:schemeClr w14:val="tx1"/>
                  </w14:solidFill>
                </w14:textFill>
              </w:rPr>
              <w:t xml:space="preserve">分）</w:t>
            </w:r>
            <w:r/>
          </w:p>
        </w:tc>
        <w:tc>
          <w:tcPr>
            <w:tcW w:w="3296" w:type="pct"/>
            <w:vAlign w:val="center"/>
            <w:textDirection w:val="lrTb"/>
            <w:noWrap w:val="false"/>
          </w:tcPr>
          <w:p>
            <w:pPr>
              <w:spacing w:line="360" w:lineRule="exact"/>
              <w:rPr>
                <w:rFonts w:ascii="宋体" w:hAnsi="宋体" w:eastAsia="宋体" w:cs="宋体"/>
                <w:color w:val="000000" w:themeColor="text1"/>
                <w:sz w:val="24"/>
                <w:szCs w:val="24"/>
                <w:highlight w:val="red"/>
                <w:lang w:eastAsia="zh-CN"/>
                <w14:textFill>
                  <w14:solidFill>
                    <w14:schemeClr w14:val="tx1"/>
                  </w14:solidFill>
                </w14:textFill>
              </w:rPr>
            </w:pPr>
            <w:r>
              <w:rPr>
                <w:rFonts w:hint="eastAsia" w:ascii="宋体" w:hAnsi="宋体" w:eastAsia="宋体" w:cs="宋体"/>
                <w:sz w:val="24"/>
                <w:szCs w:val="24"/>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eastAsia="宋体" w:cs="宋体"/>
                <w:sz w:val="24"/>
                <w:szCs w:val="24"/>
                <w:lang w:eastAsia="zh-CN"/>
              </w:rPr>
              <w:t xml:space="preserve">30</w:t>
            </w:r>
            <w:r>
              <w:rPr>
                <w:rFonts w:hint="eastAsia" w:ascii="宋体" w:hAnsi="宋体" w:eastAsia="宋体" w:cs="宋体"/>
                <w:sz w:val="24"/>
                <w:szCs w:val="24"/>
              </w:rPr>
              <w:t xml:space="preserve">分。</w:t>
            </w:r>
            <w:r/>
          </w:p>
        </w:tc>
        <w:tc>
          <w:tcPr>
            <w:tcW w:w="362" w:type="pct"/>
            <w:vAlign w:val="center"/>
            <w:textDirection w:val="lrTb"/>
            <w:noWrap w:val="false"/>
          </w:tcPr>
          <w:p>
            <w:pPr>
              <w:pStyle w:val="814"/>
              <w:ind w:firstLine="0"/>
              <w:jc w:val="center"/>
              <w:spacing w:line="3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30</w:t>
            </w:r>
            <w:r/>
          </w:p>
        </w:tc>
      </w:tr>
      <w:tr>
        <w:trPr>
          <w:jc w:val="center"/>
          <w:trHeight w:val="1325"/>
        </w:trPr>
        <w:tc>
          <w:tcPr>
            <w:tcW w:w="354" w:type="pct"/>
            <w:vAlign w:val="center"/>
            <w:textDirection w:val="lrTb"/>
            <w:noWrap w:val="false"/>
          </w:tcPr>
          <w:p>
            <w:pPr>
              <w:pStyle w:val="814"/>
              <w:ind w:firstLine="0"/>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W w:w="986" w:type="pct"/>
            <w:vAlign w:val="center"/>
            <w:textDirection w:val="lrTb"/>
            <w:noWrap w:val="false"/>
          </w:tcPr>
          <w:p>
            <w:pPr>
              <w:pStyle w:val="814"/>
              <w:jc w:val="both"/>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政策导向</w:t>
            </w:r>
            <w:r/>
          </w:p>
          <w:p>
            <w:pPr>
              <w:pStyle w:val="814"/>
              <w:jc w:val="both"/>
              <w:spacing w:line="36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3分</w:t>
            </w:r>
            <w:r>
              <w:rPr>
                <w:rFonts w:hint="eastAsia" w:ascii="宋体" w:hAnsi="宋体" w:cs="宋体"/>
                <w:color w:val="000000" w:themeColor="text1"/>
                <w:sz w:val="24"/>
                <w:szCs w:val="24"/>
                <w:lang w:eastAsia="zh-CN"/>
                <w14:textFill>
                  <w14:solidFill>
                    <w14:schemeClr w14:val="tx1"/>
                  </w14:solidFill>
                </w14:textFill>
              </w:rPr>
              <w:t xml:space="preserve">）</w:t>
            </w:r>
            <w:r/>
          </w:p>
        </w:tc>
        <w:tc>
          <w:tcPr>
            <w:tcW w:w="3296" w:type="pct"/>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投标产品（</w:t>
            </w:r>
            <w:r>
              <w:rPr>
                <w:rFonts w:hint="eastAsia" w:ascii="宋体" w:hAnsi="宋体" w:eastAsia="宋体" w:cs="宋体"/>
                <w:sz w:val="24"/>
                <w:szCs w:val="24"/>
                <w:highlight w:val="none"/>
                <w:lang w:val="en-US" w:eastAsia="zh-CN"/>
              </w:rPr>
              <w:t xml:space="preserve">网络服务器、运维硬件服务器、交通事件检测智能服务器、流媒体节点服务器、数据智能云存储服务器、应用管理服务器</w:t>
            </w:r>
            <w:r>
              <w:rPr>
                <w:rFonts w:hint="eastAsia" w:ascii="宋体" w:hAnsi="宋体" w:eastAsia="宋体" w:cs="宋体"/>
                <w:sz w:val="24"/>
                <w:szCs w:val="24"/>
                <w:highlight w:val="none"/>
              </w:rPr>
              <w:t xml:space="preserve">）在财政部、生态环境部公布的“环境标志产品政府采购品目清单”内，且提供国家市场监督管理局确定的列入“参与实施政府采购环境标志产品认证机构名录”内的认证机构出具的、有效期内的该产品环境标志产品认证证书电子件的，每</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1个得0.5分，本项最多得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分，没有不得分。</w:t>
            </w:r>
            <w:r/>
          </w:p>
        </w:tc>
        <w:tc>
          <w:tcPr>
            <w:tcW w:w="362" w:type="pct"/>
            <w:vAlign w:val="center"/>
            <w:textDirection w:val="lrTb"/>
            <w:noWrap w:val="false"/>
          </w:tcPr>
          <w:p>
            <w:pPr>
              <w:pStyle w:val="814"/>
              <w:ind w:firstLine="0"/>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w:t>
            </w:r>
            <w:r/>
          </w:p>
        </w:tc>
      </w:tr>
      <w:tr>
        <w:trPr>
          <w:jc w:val="center"/>
          <w:trHeight w:val="3000"/>
        </w:trPr>
        <w:tc>
          <w:tcPr>
            <w:tcW w:w="354" w:type="pct"/>
            <w:vAlign w:val="center"/>
            <w:textDirection w:val="lrTb"/>
            <w:noWrap w:val="false"/>
          </w:tcPr>
          <w:p>
            <w:pPr>
              <w:pStyle w:val="814"/>
              <w:ind w:firstLine="0"/>
              <w:jc w:val="center"/>
              <w:spacing w:line="360" w:lineRule="exact"/>
              <w:rPr>
                <w:rFonts w:ascii="宋体" w:hAnsi="宋体" w:eastAsia="宋体" w:cs="宋体"/>
                <w:sz w:val="24"/>
                <w:szCs w:val="24"/>
                <w:lang w:eastAsia="zh-CN"/>
              </w:rPr>
            </w:pPr>
            <w:r>
              <w:rPr>
                <w:rFonts w:hint="eastAsia" w:ascii="宋体" w:hAnsi="宋体" w:cs="宋体"/>
                <w:sz w:val="24"/>
                <w:szCs w:val="24"/>
                <w:lang w:val="en-US" w:eastAsia="zh-CN"/>
              </w:rPr>
              <w:t xml:space="preserve">3</w:t>
            </w:r>
            <w:r/>
          </w:p>
        </w:tc>
        <w:tc>
          <w:tcPr>
            <w:tcW w:w="986" w:type="pct"/>
            <w:vAlign w:val="center"/>
            <w:textDirection w:val="lrTb"/>
            <w:noWrap w:val="false"/>
          </w:tcPr>
          <w:p>
            <w:pPr>
              <w:jc w:val="center"/>
              <w:spacing w:line="3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技术部分（20分）</w:t>
            </w:r>
            <w:r/>
          </w:p>
        </w:tc>
        <w:tc>
          <w:tcPr>
            <w:tcW w:w="3296" w:type="pct"/>
            <w:vAlign w:val="center"/>
            <w:textDirection w:val="lrTb"/>
            <w:noWrap w:val="false"/>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1）投标供应商所投产品技术参数完全满足招标文件“项目采购需求”要求的得20分。其中标注“★”部分为实质性要求，有一项不满足的作无效标处理。投标供应商所投产品技术参数与招标文件“项目采购需求”中标注“▲”的参数相比较（标注“▲”的参数为重要参数），每有一项负偏离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lang w:eastAsia="zh-CN"/>
              </w:rPr>
              <w:t xml:space="preserve">分，扣完为止。</w:t>
            </w:r>
            <w:r>
              <w:rPr>
                <w:rFonts w:hint="eastAsia" w:ascii="宋体" w:hAnsi="宋体" w:cs="宋体"/>
                <w:sz w:val="24"/>
                <w:szCs w:val="24"/>
                <w:lang w:eastAsia="zh-CN"/>
              </w:rPr>
              <w:t xml:space="preserve">其他</w:t>
            </w:r>
            <w:r>
              <w:rPr>
                <w:rFonts w:hint="eastAsia" w:ascii="宋体" w:hAnsi="宋体" w:eastAsia="宋体" w:cs="宋体"/>
                <w:sz w:val="24"/>
                <w:szCs w:val="24"/>
                <w:lang w:eastAsia="zh-CN"/>
              </w:rPr>
              <w:t xml:space="preserve">项（未标注符号的）参数，每有一项负偏离的扣</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lang w:eastAsia="zh-CN"/>
              </w:rPr>
              <w:t xml:space="preserve">分，扣完为止；</w:t>
            </w:r>
            <w:r/>
          </w:p>
          <w:p>
            <w:pPr>
              <w:tabs>
                <w:tab w:val="left" w:pos="10080" w:leader="none"/>
              </w:tabs>
              <w:rPr>
                <w:rFonts w:ascii="宋体" w:hAnsi="宋体" w:eastAsia="宋体" w:cs="宋体"/>
                <w:b/>
                <w:bCs/>
                <w:sz w:val="24"/>
                <w:szCs w:val="24"/>
                <w:lang w:val="zh-CN" w:eastAsia="zh-CN"/>
              </w:rPr>
            </w:pPr>
            <w:r>
              <w:rPr>
                <w:rFonts w:hint="eastAsia" w:ascii="宋体" w:hAnsi="宋体" w:eastAsia="宋体" w:cs="宋体"/>
                <w:b/>
                <w:bCs/>
                <w:sz w:val="24"/>
                <w:szCs w:val="24"/>
                <w:lang w:eastAsia="zh-CN"/>
              </w:rPr>
              <w:t xml:space="preserve">注：</w:t>
            </w:r>
            <w:r>
              <w:rPr>
                <w:rFonts w:hint="eastAsia" w:ascii="宋体" w:hAnsi="宋体" w:eastAsia="宋体" w:cs="宋体"/>
                <w:b/>
                <w:bCs/>
                <w:sz w:val="24"/>
                <w:szCs w:val="24"/>
                <w:lang w:val="zh-CN" w:eastAsia="zh-CN"/>
              </w:rPr>
              <w:t xml:space="preserve">（1）技术参数要求中如需提供检测报告或证明材料的，投标供应商须按要求提供证明材料上传，</w:t>
            </w:r>
            <w:r>
              <w:rPr>
                <w:rFonts w:hint="eastAsia" w:ascii="宋体" w:hAnsi="宋体" w:cs="宋体"/>
                <w:b/>
                <w:bCs/>
                <w:sz w:val="24"/>
                <w:szCs w:val="24"/>
                <w:highlight w:val="none"/>
                <w:lang w:val="zh-CN" w:eastAsia="zh-CN"/>
              </w:rPr>
              <w:t xml:space="preserve">未要求提供证明材料的，响应即可</w:t>
            </w:r>
            <w:r>
              <w:rPr>
                <w:rFonts w:hint="eastAsia" w:ascii="宋体" w:hAnsi="宋体" w:cs="宋体"/>
                <w:b/>
                <w:bCs/>
                <w:sz w:val="24"/>
                <w:szCs w:val="24"/>
                <w:lang w:val="zh-CN" w:eastAsia="zh-CN"/>
              </w:rPr>
              <w:t xml:space="preserve">。</w:t>
            </w:r>
            <w:r>
              <w:rPr>
                <w:rFonts w:hint="eastAsia" w:ascii="宋体" w:hAnsi="宋体" w:eastAsia="宋体" w:cs="宋体"/>
                <w:b/>
                <w:bCs/>
                <w:sz w:val="24"/>
                <w:szCs w:val="24"/>
                <w:lang w:val="zh-CN" w:eastAsia="zh-CN"/>
              </w:rPr>
              <w:t xml:space="preserve">未提供的作负偏离处理。</w:t>
            </w:r>
            <w:r/>
          </w:p>
          <w:p>
            <w:pPr>
              <w:spacing w:line="360" w:lineRule="exact"/>
              <w:rPr>
                <w:rFonts w:ascii="宋体" w:hAnsi="宋体" w:eastAsia="宋体" w:cs="宋体"/>
                <w:sz w:val="24"/>
                <w:szCs w:val="24"/>
                <w:lang w:eastAsia="zh-CN"/>
              </w:rPr>
            </w:pPr>
            <w:r>
              <w:rPr>
                <w:rFonts w:hint="eastAsia" w:ascii="宋体" w:hAnsi="宋体" w:eastAsia="宋体" w:cs="宋体"/>
                <w:b/>
                <w:bCs/>
                <w:sz w:val="24"/>
                <w:szCs w:val="24"/>
                <w:lang w:val="zh-CN" w:eastAsia="zh-CN"/>
              </w:rPr>
              <w:t xml:space="preserve">（2）投标供应商须提供详细的技术规格响应及偏离表，以及相应的技术证明材料（注明技术参数对应的序号项，以便于评委审查），不提供或提供不准确</w:t>
            </w:r>
            <w:r>
              <w:rPr>
                <w:rFonts w:hint="eastAsia" w:ascii="宋体" w:hAnsi="宋体" w:cs="宋体"/>
                <w:b/>
                <w:bCs/>
                <w:sz w:val="24"/>
                <w:szCs w:val="24"/>
                <w:lang w:val="zh-CN" w:eastAsia="zh-CN"/>
              </w:rPr>
              <w:t xml:space="preserve">导致评委无法判断的</w:t>
            </w:r>
            <w:r>
              <w:rPr>
                <w:rFonts w:hint="eastAsia" w:ascii="宋体" w:hAnsi="宋体" w:eastAsia="宋体" w:cs="宋体"/>
                <w:b/>
                <w:bCs/>
                <w:sz w:val="24"/>
                <w:szCs w:val="24"/>
                <w:lang w:val="zh-CN" w:eastAsia="zh-CN"/>
              </w:rPr>
              <w:t xml:space="preserve">不得分。</w:t>
            </w:r>
            <w:r/>
          </w:p>
        </w:tc>
        <w:tc>
          <w:tcPr>
            <w:tcW w:w="362" w:type="pct"/>
            <w:vAlign w:val="center"/>
            <w:textDirection w:val="lrTb"/>
            <w:noWrap w:val="false"/>
          </w:tcPr>
          <w:p>
            <w:pPr>
              <w:pStyle w:val="814"/>
              <w:ind w:firstLine="0"/>
              <w:jc w:val="center"/>
              <w:spacing w:line="3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20</w:t>
            </w:r>
            <w:r/>
          </w:p>
        </w:tc>
      </w:tr>
      <w:tr>
        <w:trPr>
          <w:jc w:val="center"/>
          <w:trHeight w:val="5638"/>
        </w:trPr>
        <w:tc>
          <w:tcPr>
            <w:tcW w:w="354" w:type="pct"/>
            <w:vAlign w:val="center"/>
            <w:textDirection w:val="lrTb"/>
            <w:noWrap w:val="false"/>
          </w:tcPr>
          <w:p>
            <w:pPr>
              <w:pStyle w:val="814"/>
              <w:ind w:firstLine="0"/>
              <w:spacing w:line="360" w:lineRule="exact"/>
              <w:rPr>
                <w:rFonts w:ascii="宋体" w:hAnsi="宋体" w:eastAsia="宋体" w:cs="宋体"/>
                <w:sz w:val="24"/>
                <w:szCs w:val="24"/>
                <w:lang w:eastAsia="zh-CN"/>
              </w:rPr>
            </w:pPr>
            <w:r>
              <w:rPr>
                <w:rFonts w:hint="eastAsia" w:ascii="宋体" w:hAnsi="宋体" w:cs="宋体"/>
                <w:sz w:val="24"/>
                <w:szCs w:val="24"/>
                <w:lang w:val="en-US" w:eastAsia="zh-CN"/>
              </w:rPr>
              <w:t xml:space="preserve">4</w:t>
            </w:r>
            <w:r/>
          </w:p>
        </w:tc>
        <w:tc>
          <w:tcPr>
            <w:tcW w:w="986" w:type="pct"/>
            <w:vAlign w:val="center"/>
            <w:textDirection w:val="lrTb"/>
            <w:noWrap w:val="false"/>
          </w:tcPr>
          <w:p>
            <w:pPr>
              <w:pStyle w:val="814"/>
              <w:ind w:firstLine="0"/>
              <w:spacing w:line="360" w:lineRule="exact"/>
              <w:rPr>
                <w:rFonts w:ascii="宋体" w:hAnsi="宋体" w:eastAsia="宋体" w:cs="宋体"/>
                <w:sz w:val="24"/>
                <w:szCs w:val="24"/>
                <w:lang w:eastAsia="zh-CN"/>
              </w:rPr>
            </w:pPr>
            <w:r>
              <w:rPr>
                <w:rFonts w:hint="eastAsia" w:ascii="宋体" w:hAnsi="宋体" w:eastAsia="宋体" w:cs="宋体"/>
                <w:sz w:val="24"/>
                <w:szCs w:val="24"/>
              </w:rPr>
              <w:t xml:space="preserve">供应商综合实力（</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rPr>
              <w:t xml:space="preserve">分）</w:t>
            </w:r>
            <w:r/>
          </w:p>
        </w:tc>
        <w:tc>
          <w:tcPr>
            <w:tcW w:w="3296" w:type="pct"/>
            <w:vAlign w:val="center"/>
            <w:textDirection w:val="lrTb"/>
            <w:noWrap w:val="false"/>
          </w:tcPr>
          <w:p>
            <w:pPr>
              <w:numPr>
                <w:ilvl w:val="0"/>
                <w:numId w:val="7"/>
              </w:numPr>
              <w:widowControl w:val="off"/>
              <w:rPr>
                <w:rFonts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 xml:space="preserve">供应商针对本项目拟配备项目负责人一名，具有</w:t>
            </w:r>
            <w:r>
              <w:rPr>
                <w:rFonts w:hint="eastAsia" w:ascii="宋体" w:hAnsi="宋体" w:cs="宋体"/>
                <w:sz w:val="24"/>
                <w:szCs w:val="24"/>
                <w:highlight w:val="none"/>
                <w:lang w:eastAsia="zh-CN"/>
              </w:rPr>
              <w:t xml:space="preserve">高级及以上</w:t>
            </w:r>
            <w:r>
              <w:rPr>
                <w:rFonts w:hint="eastAsia" w:ascii="宋体" w:hAnsi="宋体" w:eastAsia="宋体" w:cs="宋体"/>
                <w:sz w:val="24"/>
                <w:szCs w:val="24"/>
                <w:highlight w:val="none"/>
                <w:lang w:eastAsia="zh-CN"/>
              </w:rPr>
              <w:t xml:space="preserve">专业技术职称证书的（电子、电气、电子信息、机电中任意一种专业）</w:t>
            </w:r>
            <w:r>
              <w:rPr>
                <w:rFonts w:hint="eastAsia" w:ascii="宋体" w:hAnsi="宋体" w:cs="宋体"/>
                <w:sz w:val="24"/>
                <w:szCs w:val="24"/>
                <w:highlight w:val="none"/>
                <w:lang w:eastAsia="zh-CN"/>
              </w:rPr>
              <w:t xml:space="preserve">得</w:t>
            </w:r>
            <w:r>
              <w:rPr>
                <w:rFonts w:hint="eastAsia" w:ascii="宋体" w:hAnsi="宋体" w:cs="宋体"/>
                <w:sz w:val="24"/>
                <w:szCs w:val="24"/>
                <w:highlight w:val="none"/>
                <w:lang w:val="en-US" w:eastAsia="zh-CN"/>
              </w:rPr>
              <w:t xml:space="preserve">2分</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eastAsia="zh-CN"/>
              </w:rPr>
              <w:t xml:space="preserve">（提供①有效的身份证；②有效的劳动合同及供应商</w:t>
            </w:r>
            <w:r>
              <w:rPr>
                <w:rFonts w:hint="eastAsia" w:ascii="宋体" w:hAnsi="宋体" w:cs="宋体"/>
                <w:b/>
                <w:bCs/>
                <w:sz w:val="24"/>
                <w:szCs w:val="24"/>
                <w:highlight w:val="none"/>
                <w:lang w:val="en-US" w:eastAsia="zh-CN"/>
              </w:rPr>
              <w:t xml:space="preserve">2025年1月以来</w:t>
            </w:r>
            <w:r>
              <w:rPr>
                <w:rFonts w:hint="eastAsia" w:ascii="宋体" w:hAnsi="宋体" w:eastAsia="宋体" w:cs="宋体"/>
                <w:b/>
                <w:bCs/>
                <w:sz w:val="24"/>
                <w:szCs w:val="24"/>
                <w:highlight w:val="none"/>
                <w:lang w:eastAsia="zh-CN"/>
              </w:rPr>
              <w:t xml:space="preserve">为其缴纳的任意一个月的社保；③有效的职称证书。上述材料原件扫描件上传，材料不全不得分）</w:t>
            </w:r>
            <w:r/>
          </w:p>
          <w:p>
            <w:pPr>
              <w:numPr>
                <w:ilvl w:val="0"/>
                <w:numId w:val="7"/>
              </w:numPr>
              <w:widowControl w:val="off"/>
              <w:rPr>
                <w:rFonts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 xml:space="preserve">供应商针对本项目拟配备技术负责人一名，具有</w:t>
            </w:r>
            <w:r>
              <w:rPr>
                <w:rFonts w:hint="eastAsia" w:ascii="宋体" w:hAnsi="宋体" w:cs="宋体"/>
                <w:sz w:val="24"/>
                <w:szCs w:val="24"/>
                <w:highlight w:val="none"/>
                <w:lang w:eastAsia="zh-CN"/>
              </w:rPr>
              <w:t xml:space="preserve">高级及以上</w:t>
            </w:r>
            <w:r>
              <w:rPr>
                <w:rFonts w:hint="eastAsia" w:ascii="宋体" w:hAnsi="宋体" w:eastAsia="宋体" w:cs="宋体"/>
                <w:sz w:val="24"/>
                <w:szCs w:val="24"/>
                <w:highlight w:val="none"/>
                <w:lang w:eastAsia="zh-CN"/>
              </w:rPr>
              <w:t xml:space="preserve">专业技术职称证书的（电子、电气、电子信息、机电中任意一种专业）</w:t>
            </w:r>
            <w:r>
              <w:rPr>
                <w:rFonts w:hint="eastAsia" w:ascii="宋体" w:hAnsi="宋体" w:cs="宋体"/>
                <w:sz w:val="24"/>
                <w:szCs w:val="24"/>
                <w:highlight w:val="none"/>
                <w:lang w:eastAsia="zh-CN"/>
              </w:rPr>
              <w:t xml:space="preserve">得</w:t>
            </w:r>
            <w:r>
              <w:rPr>
                <w:rFonts w:hint="eastAsia" w:ascii="宋体" w:hAnsi="宋体" w:cs="宋体"/>
                <w:sz w:val="24"/>
                <w:szCs w:val="24"/>
                <w:highlight w:val="none"/>
                <w:lang w:val="en-US" w:eastAsia="zh-CN"/>
              </w:rPr>
              <w:t xml:space="preserve">2分</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eastAsia="zh-CN"/>
              </w:rPr>
              <w:t xml:space="preserve">（提供①有效的身份证；②有效的劳动合同及供应商</w:t>
            </w:r>
            <w:r>
              <w:rPr>
                <w:rFonts w:hint="eastAsia" w:ascii="宋体" w:hAnsi="宋体" w:cs="宋体"/>
                <w:b/>
                <w:bCs/>
                <w:sz w:val="24"/>
                <w:szCs w:val="24"/>
                <w:highlight w:val="none"/>
                <w:lang w:val="en-US" w:eastAsia="zh-CN"/>
              </w:rPr>
              <w:t xml:space="preserve">2025年1月以来</w:t>
            </w:r>
            <w:r>
              <w:rPr>
                <w:rFonts w:hint="eastAsia" w:ascii="宋体" w:hAnsi="宋体" w:eastAsia="宋体" w:cs="宋体"/>
                <w:b/>
                <w:bCs/>
                <w:sz w:val="24"/>
                <w:szCs w:val="24"/>
                <w:highlight w:val="none"/>
                <w:lang w:eastAsia="zh-CN"/>
              </w:rPr>
              <w:t xml:space="preserve">为其缴纳的任意一个月的社保；③有效的职称证书。上述材料原件扫描件上传，材料不全不得分）</w:t>
            </w:r>
            <w:r/>
          </w:p>
          <w:p>
            <w:pPr>
              <w:widowControl w:val="off"/>
              <w:rPr>
                <w:rFonts w:ascii="宋体" w:hAnsi="宋体" w:eastAsia="宋体" w:cs="宋体"/>
                <w:b/>
                <w:bCs/>
                <w:sz w:val="24"/>
                <w:szCs w:val="24"/>
                <w:lang w:eastAsia="zh-CN"/>
              </w:rPr>
            </w:pPr>
            <w:r>
              <w:rPr>
                <w:rFonts w:hint="eastAsia" w:ascii="宋体" w:hAnsi="宋体" w:eastAsia="宋体" w:cs="宋体"/>
                <w:sz w:val="24"/>
                <w:szCs w:val="24"/>
                <w:lang w:eastAsia="zh-CN"/>
              </w:rPr>
              <w:t xml:space="preserve">3、供应商针对本项目拟配备投入实施技术人员中，具有</w:t>
            </w:r>
            <w:r>
              <w:rPr>
                <w:rFonts w:hint="eastAsia" w:ascii="宋体" w:hAnsi="宋体" w:cs="宋体"/>
                <w:sz w:val="24"/>
                <w:szCs w:val="24"/>
                <w:highlight w:val="none"/>
                <w:lang w:eastAsia="zh-CN"/>
              </w:rPr>
              <w:t xml:space="preserve">中级</w:t>
            </w:r>
            <w:r>
              <w:rPr>
                <w:rFonts w:hint="eastAsia" w:ascii="宋体" w:hAnsi="宋体" w:eastAsia="宋体" w:cs="宋体"/>
                <w:sz w:val="24"/>
                <w:szCs w:val="24"/>
                <w:lang w:eastAsia="zh-CN"/>
              </w:rPr>
              <w:t xml:space="preserve">及以上专业技术职称证书的（电子、电气、电子信息、机电中任意一种专业），每提供一个得1分，本项最多得4分。</w:t>
            </w:r>
            <w:r>
              <w:rPr>
                <w:rFonts w:hint="eastAsia" w:ascii="宋体" w:hAnsi="宋体" w:eastAsia="宋体" w:cs="宋体"/>
                <w:b/>
                <w:bCs/>
                <w:sz w:val="24"/>
                <w:szCs w:val="24"/>
                <w:lang w:eastAsia="zh-CN"/>
              </w:rPr>
              <w:t xml:space="preserve">（提供①有效的身份证；②有效的劳动合同及供应商</w:t>
            </w:r>
            <w:r>
              <w:rPr>
                <w:rFonts w:hint="eastAsia" w:ascii="宋体" w:hAnsi="宋体" w:cs="宋体"/>
                <w:b/>
                <w:bCs/>
                <w:sz w:val="24"/>
                <w:szCs w:val="24"/>
                <w:highlight w:val="none"/>
                <w:lang w:val="en-US" w:eastAsia="zh-CN"/>
              </w:rPr>
              <w:t xml:space="preserve">2025年1月以来</w:t>
            </w:r>
            <w:r>
              <w:rPr>
                <w:rFonts w:hint="eastAsia" w:ascii="宋体" w:hAnsi="宋体" w:eastAsia="宋体" w:cs="宋体"/>
                <w:b/>
                <w:bCs/>
                <w:sz w:val="24"/>
                <w:szCs w:val="24"/>
                <w:lang w:eastAsia="zh-CN"/>
              </w:rPr>
              <w:t xml:space="preserve">为其缴纳的任意一个月的社保；③有效的职称证书。上述材料原件扫描件上传，材料不全不得分）</w:t>
            </w:r>
            <w:r/>
          </w:p>
          <w:p>
            <w:pPr>
              <w:pStyle w:val="814"/>
              <w:ind w:firstLine="0"/>
              <w:jc w:val="both"/>
              <w:spacing w:line="360" w:lineRule="exact"/>
              <w:rPr>
                <w:rFonts w:ascii="宋体" w:hAnsi="宋体" w:eastAsia="宋体" w:cs="宋体"/>
                <w:sz w:val="24"/>
                <w:szCs w:val="24"/>
                <w:lang w:eastAsia="zh-CN"/>
              </w:rPr>
            </w:pPr>
            <w:r>
              <w:rPr>
                <w:rFonts w:hint="eastAsia" w:ascii="宋体" w:hAnsi="宋体" w:eastAsia="宋体" w:cs="宋体"/>
                <w:b/>
                <w:bCs/>
                <w:sz w:val="24"/>
                <w:szCs w:val="24"/>
                <w:lang w:eastAsia="zh-CN"/>
              </w:rPr>
              <w:t xml:space="preserve">注：以上针对本项目拟投入的人员不重复计算。</w:t>
            </w:r>
            <w:r/>
          </w:p>
        </w:tc>
        <w:tc>
          <w:tcPr>
            <w:tcW w:w="362" w:type="pct"/>
            <w:vAlign w:val="center"/>
            <w:textDirection w:val="lrTb"/>
            <w:noWrap w:val="false"/>
          </w:tcPr>
          <w:p>
            <w:pPr>
              <w:pStyle w:val="814"/>
              <w:ind w:firstLine="0"/>
              <w:jc w:val="center"/>
              <w:spacing w:line="360" w:lineRule="exact"/>
              <w:rPr>
                <w:rFonts w:ascii="宋体" w:hAnsi="宋体" w:eastAsia="宋体" w:cs="宋体"/>
                <w:sz w:val="24"/>
                <w:szCs w:val="24"/>
                <w:lang w:eastAsia="zh-CN"/>
              </w:rPr>
            </w:pPr>
            <w:r>
              <w:rPr>
                <w:rFonts w:hint="eastAsia" w:ascii="宋体" w:hAnsi="宋体" w:cs="宋体"/>
                <w:sz w:val="24"/>
                <w:szCs w:val="24"/>
                <w:lang w:val="en-US" w:eastAsia="zh-CN"/>
              </w:rPr>
              <w:t xml:space="preserve">8</w:t>
            </w:r>
            <w:r/>
          </w:p>
        </w:tc>
      </w:tr>
      <w:tr>
        <w:trPr>
          <w:jc w:val="center"/>
          <w:trHeight w:val="1351"/>
        </w:trPr>
        <w:tc>
          <w:tcPr>
            <w:tcW w:w="354" w:type="pct"/>
            <w:vAlign w:val="center"/>
            <w:textDirection w:val="lrTb"/>
            <w:noWrap w:val="false"/>
          </w:tcPr>
          <w:p>
            <w:pPr>
              <w:pStyle w:val="814"/>
              <w:ind w:firstLine="0"/>
              <w:spacing w:line="360" w:lineRule="exact"/>
              <w:rPr>
                <w:rFonts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W w:w="986" w:type="pct"/>
            <w:vAlign w:val="center"/>
            <w:textDirection w:val="lrTb"/>
            <w:noWrap w:val="false"/>
          </w:tcPr>
          <w:p>
            <w:pPr>
              <w:pStyle w:val="814"/>
              <w:ind w:firstLine="0"/>
              <w:spacing w:line="3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类似业绩（</w:t>
            </w: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t xml:space="preserve">分）</w:t>
            </w:r>
            <w:r/>
          </w:p>
        </w:tc>
        <w:tc>
          <w:tcPr>
            <w:tcW w:w="3296" w:type="pct"/>
            <w:vAlign w:val="center"/>
            <w:textDirection w:val="lrTb"/>
            <w:noWrap w:val="false"/>
          </w:tcPr>
          <w:p>
            <w:pPr>
              <w:widowControl w:val="off"/>
              <w:rPr>
                <w:rFonts w:ascii="宋体" w:hAnsi="宋体" w:eastAsia="宋体" w:cs="宋体"/>
                <w:sz w:val="24"/>
                <w:szCs w:val="24"/>
                <w:highlight w:val="none"/>
                <w:lang w:eastAsia="zh-CN"/>
              </w:rPr>
            </w:pPr>
            <w:r>
              <w:rPr>
                <w:rFonts w:hint="eastAsia" w:ascii="宋体" w:hAnsi="宋体" w:cs="宋体"/>
                <w:sz w:val="24"/>
                <w:highlight w:val="none"/>
              </w:rPr>
              <w:t xml:space="preserve">供应商自2021年1月1日以来</w:t>
            </w:r>
            <w:r>
              <w:rPr>
                <w:rFonts w:hint="eastAsia" w:ascii="宋体" w:hAnsi="宋体" w:cs="宋体"/>
                <w:sz w:val="24"/>
                <w:highlight w:val="none"/>
                <w:lang w:eastAsia="zh-CN"/>
              </w:rPr>
              <w:t xml:space="preserve">（时间以</w:t>
            </w:r>
            <w:r>
              <w:rPr>
                <w:rFonts w:hint="eastAsia" w:ascii="宋体" w:hAnsi="宋体" w:cs="宋体"/>
                <w:sz w:val="24"/>
                <w:highlight w:val="none"/>
                <w:lang w:val="en-US" w:eastAsia="zh-CN"/>
              </w:rPr>
              <w:t xml:space="preserve">验收通过</w:t>
            </w:r>
            <w:r>
              <w:rPr>
                <w:rFonts w:hint="eastAsia" w:ascii="宋体" w:hAnsi="宋体" w:cs="宋体"/>
                <w:sz w:val="24"/>
                <w:highlight w:val="none"/>
                <w:lang w:eastAsia="zh-CN"/>
              </w:rPr>
              <w:t xml:space="preserve">时间为准）</w:t>
            </w:r>
            <w:r>
              <w:rPr>
                <w:rFonts w:hint="eastAsia" w:ascii="宋体" w:hAnsi="宋体" w:cs="宋体"/>
                <w:sz w:val="24"/>
                <w:highlight w:val="none"/>
              </w:rPr>
              <w:t xml:space="preserve">承接过类似</w:t>
            </w:r>
            <w:r>
              <w:rPr>
                <w:rFonts w:hint="eastAsia" w:ascii="宋体" w:hAnsi="宋体" w:cs="宋体"/>
                <w:sz w:val="24"/>
                <w:highlight w:val="none"/>
                <w:lang w:eastAsia="zh-CN"/>
              </w:rPr>
              <w:t xml:space="preserve">本</w:t>
            </w:r>
            <w:r>
              <w:rPr>
                <w:rFonts w:hint="eastAsia" w:ascii="宋体" w:hAnsi="宋体" w:cs="宋体"/>
                <w:sz w:val="24"/>
                <w:highlight w:val="none"/>
              </w:rPr>
              <w:t xml:space="preserve">项目</w:t>
            </w:r>
            <w:r>
              <w:rPr>
                <w:rFonts w:hint="eastAsia" w:ascii="宋体" w:hAnsi="宋体" w:cs="宋体"/>
                <w:sz w:val="24"/>
                <w:highlight w:val="none"/>
                <w:lang w:eastAsia="zh-CN"/>
              </w:rPr>
              <w:t xml:space="preserve">业绩的</w:t>
            </w:r>
            <w:r>
              <w:rPr>
                <w:rFonts w:hint="eastAsia" w:ascii="宋体" w:hAnsi="宋体" w:eastAsia="宋体" w:cs="宋体"/>
                <w:sz w:val="24"/>
                <w:szCs w:val="24"/>
                <w:highlight w:val="none"/>
                <w:lang w:eastAsia="zh-CN"/>
              </w:rPr>
              <w:t xml:space="preserve">每提供1个得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分，本项最多得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分；</w:t>
            </w:r>
            <w:r/>
          </w:p>
          <w:p>
            <w:pPr>
              <w:widowControl w:val="off"/>
              <w:rPr>
                <w:rFonts w:ascii="宋体" w:hAnsi="宋体" w:eastAsia="宋体" w:cs="宋体"/>
                <w:b/>
                <w:bCs/>
                <w:sz w:val="24"/>
                <w:szCs w:val="24"/>
                <w:lang w:eastAsia="zh-CN"/>
              </w:rPr>
            </w:pPr>
            <w:r>
              <w:rPr>
                <w:rFonts w:hint="eastAsia" w:ascii="宋体" w:hAnsi="宋体" w:eastAsia="宋体" w:cs="宋体"/>
                <w:b/>
                <w:bCs/>
                <w:sz w:val="24"/>
                <w:szCs w:val="24"/>
                <w:highlight w:val="none"/>
                <w:lang w:eastAsia="zh-CN"/>
              </w:rPr>
              <w:t xml:space="preserve">注：每个业绩须同时提供合同及验收报告</w:t>
            </w:r>
            <w:r>
              <w:rPr>
                <w:rFonts w:hint="eastAsia" w:ascii="宋体" w:hAnsi="宋体" w:cs="宋体"/>
                <w:b/>
                <w:bCs/>
                <w:sz w:val="24"/>
                <w:szCs w:val="24"/>
                <w:highlight w:val="none"/>
                <w:lang w:eastAsia="zh-CN"/>
              </w:rPr>
              <w:t xml:space="preserve">（材料须显示</w:t>
            </w:r>
            <w:r>
              <w:rPr>
                <w:rFonts w:hint="eastAsia" w:ascii="宋体" w:hAnsi="宋体" w:cs="宋体"/>
                <w:b/>
                <w:bCs/>
                <w:sz w:val="24"/>
                <w:szCs w:val="24"/>
                <w:highlight w:val="none"/>
                <w:lang w:val="en-US" w:eastAsia="zh-CN"/>
              </w:rPr>
              <w:t xml:space="preserve">验收通过</w:t>
            </w:r>
            <w:r>
              <w:rPr>
                <w:rFonts w:hint="eastAsia" w:ascii="宋体" w:hAnsi="宋体" w:cs="宋体"/>
                <w:b/>
                <w:bCs/>
                <w:sz w:val="24"/>
                <w:szCs w:val="24"/>
                <w:highlight w:val="none"/>
                <w:lang w:eastAsia="zh-CN"/>
              </w:rPr>
              <w:t xml:space="preserve">时间）</w:t>
            </w:r>
            <w:r>
              <w:rPr>
                <w:rFonts w:hint="eastAsia" w:ascii="宋体" w:hAnsi="宋体" w:eastAsia="宋体" w:cs="宋体"/>
                <w:b/>
                <w:bCs/>
                <w:sz w:val="24"/>
                <w:szCs w:val="24"/>
                <w:highlight w:val="none"/>
                <w:lang w:eastAsia="zh-CN"/>
              </w:rPr>
              <w:t xml:space="preserve">，提供不全</w:t>
            </w:r>
            <w:r>
              <w:rPr>
                <w:rFonts w:hint="eastAsia" w:ascii="宋体" w:hAnsi="宋体" w:cs="宋体"/>
                <w:b/>
                <w:bCs/>
                <w:sz w:val="24"/>
                <w:szCs w:val="24"/>
                <w:highlight w:val="none"/>
                <w:lang w:eastAsia="zh-CN"/>
              </w:rPr>
              <w:t xml:space="preserve">、不清晰</w:t>
            </w:r>
            <w:r>
              <w:rPr>
                <w:rFonts w:hint="eastAsia" w:ascii="宋体" w:hAnsi="宋体" w:eastAsia="宋体" w:cs="宋体"/>
                <w:b/>
                <w:bCs/>
                <w:sz w:val="24"/>
                <w:szCs w:val="24"/>
                <w:highlight w:val="none"/>
                <w:lang w:eastAsia="zh-CN"/>
              </w:rPr>
              <w:t xml:space="preserve">的概不得分；原</w:t>
            </w:r>
            <w:r>
              <w:rPr>
                <w:rFonts w:hint="eastAsia" w:ascii="宋体" w:hAnsi="宋体" w:cs="宋体"/>
                <w:b/>
                <w:bCs/>
                <w:sz w:val="24"/>
                <w:szCs w:val="24"/>
                <w:highlight w:val="none"/>
                <w:lang w:eastAsia="zh-CN"/>
              </w:rPr>
              <w:t xml:space="preserve">件</w:t>
            </w:r>
            <w:r>
              <w:rPr>
                <w:rFonts w:hint="eastAsia" w:ascii="宋体" w:hAnsi="宋体" w:eastAsia="宋体" w:cs="宋体"/>
                <w:b/>
                <w:bCs/>
                <w:sz w:val="24"/>
                <w:szCs w:val="24"/>
                <w:highlight w:val="none"/>
                <w:lang w:eastAsia="zh-CN"/>
              </w:rPr>
              <w:t xml:space="preserve">扫描件上传）。</w:t>
            </w:r>
            <w:r/>
          </w:p>
        </w:tc>
        <w:tc>
          <w:tcPr>
            <w:tcW w:w="362" w:type="pct"/>
            <w:vAlign w:val="center"/>
            <w:textDirection w:val="lrTb"/>
            <w:noWrap w:val="false"/>
          </w:tcPr>
          <w:p>
            <w:pPr>
              <w:pStyle w:val="814"/>
              <w:ind w:firstLine="0"/>
              <w:jc w:val="center"/>
              <w:spacing w:line="360" w:lineRule="exact"/>
              <w:rPr>
                <w:rFonts w:ascii="宋体" w:hAnsi="宋体" w:eastAsia="宋体" w:cs="宋体"/>
                <w:sz w:val="24"/>
                <w:szCs w:val="24"/>
                <w:lang w:eastAsia="zh-CN"/>
              </w:rPr>
            </w:pPr>
            <w:r>
              <w:rPr>
                <w:rFonts w:hint="eastAsia" w:ascii="宋体" w:hAnsi="宋体" w:cs="宋体"/>
                <w:sz w:val="24"/>
                <w:szCs w:val="24"/>
                <w:lang w:val="en-US" w:eastAsia="zh-CN"/>
              </w:rPr>
              <w:t xml:space="preserve">6</w:t>
            </w:r>
            <w:r/>
          </w:p>
        </w:tc>
      </w:tr>
      <w:tr>
        <w:trPr>
          <w:jc w:val="center"/>
          <w:trHeight w:val="329"/>
        </w:trPr>
        <w:tc>
          <w:tcPr>
            <w:tcW w:w="354" w:type="pct"/>
            <w:vAlign w:val="center"/>
            <w:textDirection w:val="lrTb"/>
            <w:noWrap w:val="false"/>
          </w:tcPr>
          <w:p>
            <w:pPr>
              <w:pStyle w:val="814"/>
              <w:ind w:firstLine="0"/>
              <w:spacing w:line="360" w:lineRule="exact"/>
              <w:rPr>
                <w:rFonts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W w:w="986" w:type="pct"/>
            <w:vAlign w:val="center"/>
            <w:textDirection w:val="lrTb"/>
            <w:noWrap w:val="false"/>
          </w:tcPr>
          <w:p>
            <w:pPr>
              <w:pStyle w:val="814"/>
              <w:ind w:firstLine="0"/>
              <w:spacing w:line="360" w:lineRule="exact"/>
              <w:rPr>
                <w:rFonts w:ascii="宋体" w:hAnsi="宋体" w:eastAsia="宋体" w:cs="宋体"/>
                <w:color w:val="ff0000"/>
                <w:sz w:val="24"/>
                <w:szCs w:val="24"/>
                <w:lang w:eastAsia="zh-CN"/>
              </w:rPr>
            </w:pPr>
            <w:r>
              <w:rPr>
                <w:rFonts w:hint="eastAsia" w:ascii="宋体" w:hAnsi="宋体" w:eastAsia="宋体" w:cs="宋体"/>
                <w:color w:val="auto"/>
                <w:sz w:val="24"/>
                <w:szCs w:val="24"/>
                <w:lang w:eastAsia="zh-CN"/>
              </w:rPr>
              <w:t xml:space="preserve">方案部分（2</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eastAsia="zh-CN"/>
              </w:rPr>
              <w:t xml:space="preserve">分）</w:t>
            </w:r>
            <w:r/>
          </w:p>
        </w:tc>
        <w:tc>
          <w:tcPr>
            <w:tcW w:w="3296" w:type="pct"/>
            <w:vAlign w:val="center"/>
            <w:textDirection w:val="lrTb"/>
            <w:noWrap w:val="false"/>
          </w:tcPr>
          <w:p>
            <w:pPr>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1、现场踏勘方案（9分）：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投标人所提供的针对本次项目所编制的各点位建设要素，配有详细的点位图文分析（包括但不限于供电取接电、网络接入、安装位置、杆件规格、机柜等），并据此规划总体踏勘方案，所踏勘内容和采购清单比较能指导后续实施施工，进行详细性、合理性、规范性阐述。</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①方案</w:t>
            </w:r>
            <w:r>
              <w:rPr>
                <w:rFonts w:hint="eastAsia" w:ascii="宋体" w:hAnsi="宋体" w:cs="宋体"/>
                <w:sz w:val="24"/>
                <w:szCs w:val="24"/>
                <w:lang w:eastAsia="zh-CN"/>
              </w:rPr>
              <w:t xml:space="preserve">包括（</w:t>
            </w:r>
            <w:r>
              <w:rPr>
                <w:rFonts w:hint="eastAsia" w:ascii="宋体" w:hAnsi="宋体" w:eastAsia="宋体" w:cs="宋体"/>
                <w:sz w:val="24"/>
                <w:szCs w:val="24"/>
                <w:lang w:eastAsia="zh-CN"/>
              </w:rPr>
              <w:t xml:space="preserve">各点位建设要素</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详细的点位图文分析（包括但不限于供电取接电、网络接入、安装位置、杆件规格、机柜等）</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总体踏勘方案</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②方案</w:t>
            </w:r>
            <w:r>
              <w:rPr>
                <w:rFonts w:hint="eastAsia" w:ascii="宋体" w:hAnsi="宋体" w:cs="宋体"/>
                <w:sz w:val="24"/>
                <w:szCs w:val="24"/>
                <w:lang w:eastAsia="zh-CN"/>
              </w:rPr>
              <w:t xml:space="preserve">包括（</w:t>
            </w:r>
            <w:r>
              <w:rPr>
                <w:rFonts w:hint="eastAsia" w:ascii="宋体" w:hAnsi="宋体" w:eastAsia="宋体" w:cs="宋体"/>
                <w:sz w:val="24"/>
                <w:szCs w:val="24"/>
                <w:lang w:eastAsia="zh-CN"/>
              </w:rPr>
              <w:t xml:space="preserve">各点位建设要素</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详细的点位图文分析（包括但不限于供电取接电、网络接入、安装位置、杆件规格、机柜等</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得</w:t>
            </w: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t xml:space="preserve">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③方案</w:t>
            </w:r>
            <w:r>
              <w:rPr>
                <w:rFonts w:hint="eastAsia" w:ascii="宋体" w:hAnsi="宋体" w:cs="宋体"/>
                <w:sz w:val="24"/>
                <w:szCs w:val="24"/>
                <w:lang w:eastAsia="zh-CN"/>
              </w:rPr>
              <w:t xml:space="preserve">包括（</w:t>
            </w:r>
            <w:r>
              <w:rPr>
                <w:rFonts w:hint="eastAsia" w:ascii="宋体" w:hAnsi="宋体" w:eastAsia="宋体" w:cs="宋体"/>
                <w:sz w:val="24"/>
                <w:szCs w:val="24"/>
                <w:lang w:eastAsia="zh-CN"/>
              </w:rPr>
              <w:t xml:space="preserve">各点位建设要素</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得</w:t>
            </w: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分。</w:t>
            </w:r>
            <w:r/>
          </w:p>
          <w:p>
            <w:pPr>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2、施工组织方案（</w:t>
            </w:r>
            <w:r>
              <w:rPr>
                <w:rFonts w:hint="eastAsia" w:ascii="宋体" w:hAnsi="宋体" w:cs="宋体"/>
                <w:b/>
                <w:bCs/>
                <w:sz w:val="24"/>
                <w:szCs w:val="24"/>
                <w:lang w:val="en-US" w:eastAsia="zh-CN"/>
              </w:rPr>
              <w:t xml:space="preserve">3</w:t>
            </w:r>
            <w:r>
              <w:rPr>
                <w:rFonts w:hint="eastAsia" w:ascii="宋体" w:hAnsi="宋体" w:eastAsia="宋体" w:cs="宋体"/>
                <w:b/>
                <w:bCs/>
                <w:sz w:val="24"/>
                <w:szCs w:val="24"/>
                <w:lang w:eastAsia="zh-CN"/>
              </w:rPr>
              <w:t xml:space="preserve">分）：</w:t>
            </w:r>
            <w:r/>
          </w:p>
          <w:p>
            <w:pPr>
              <w:widowControl w:val="off"/>
              <w:rPr>
                <w:rFonts w:ascii="宋体" w:hAnsi="宋体" w:eastAsia="宋体" w:cs="宋体"/>
                <w:sz w:val="24"/>
                <w:szCs w:val="24"/>
                <w:lang w:eastAsia="zh-CN"/>
              </w:rPr>
            </w:pPr>
            <w:r>
              <w:rPr>
                <w:rFonts w:hint="eastAsia" w:ascii="宋体" w:hAnsi="宋体" w:cs="宋体"/>
                <w:sz w:val="24"/>
                <w:szCs w:val="24"/>
                <w:lang w:eastAsia="zh-CN"/>
              </w:rPr>
              <w:t xml:space="preserve">评委会</w:t>
            </w:r>
            <w:r>
              <w:rPr>
                <w:rFonts w:hint="eastAsia" w:ascii="宋体" w:hAnsi="宋体" w:eastAsia="宋体" w:cs="宋体"/>
                <w:sz w:val="24"/>
                <w:szCs w:val="24"/>
                <w:lang w:eastAsia="zh-CN"/>
              </w:rPr>
              <w:t xml:space="preserve">根据投标人所提供的针对本次项目所编制的施工组织方案以及是否能满足建设单位整体项目工期的要求</w:t>
            </w:r>
            <w:r>
              <w:rPr>
                <w:rFonts w:hint="eastAsia" w:ascii="宋体" w:hAnsi="宋体" w:cs="宋体"/>
                <w:sz w:val="24"/>
                <w:szCs w:val="24"/>
                <w:lang w:eastAsia="zh-CN"/>
              </w:rPr>
              <w:t xml:space="preserve">方案进行</w:t>
            </w:r>
            <w:r>
              <w:rPr>
                <w:rFonts w:hint="eastAsia" w:ascii="宋体" w:hAnsi="宋体" w:eastAsia="宋体" w:cs="宋体"/>
                <w:sz w:val="24"/>
                <w:szCs w:val="24"/>
                <w:lang w:eastAsia="zh-CN"/>
              </w:rPr>
              <w:t xml:space="preserve">打分；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①</w:t>
            </w:r>
            <w:r>
              <w:rPr>
                <w:rFonts w:hint="eastAsia" w:ascii="宋体" w:hAnsi="宋体" w:cs="宋体"/>
                <w:sz w:val="24"/>
                <w:szCs w:val="24"/>
                <w:lang w:eastAsia="zh-CN"/>
              </w:rPr>
              <w:t xml:space="preserve">方案</w:t>
            </w:r>
            <w:r>
              <w:rPr>
                <w:rFonts w:hint="eastAsia" w:ascii="宋体" w:hAnsi="宋体" w:eastAsia="宋体" w:cs="宋体"/>
                <w:sz w:val="24"/>
                <w:szCs w:val="24"/>
                <w:lang w:eastAsia="zh-CN"/>
              </w:rPr>
              <w:t xml:space="preserve">详细列出</w:t>
            </w:r>
            <w:r>
              <w:rPr>
                <w:rFonts w:hint="eastAsia" w:ascii="宋体" w:hAnsi="宋体" w:cs="宋体"/>
                <w:sz w:val="24"/>
                <w:szCs w:val="24"/>
                <w:lang w:eastAsia="zh-CN"/>
              </w:rPr>
              <w:t xml:space="preserve">合理</w:t>
            </w:r>
            <w:r>
              <w:rPr>
                <w:rFonts w:hint="eastAsia" w:ascii="宋体" w:hAnsi="宋体" w:eastAsia="宋体" w:cs="宋体"/>
                <w:sz w:val="24"/>
                <w:szCs w:val="24"/>
                <w:lang w:eastAsia="zh-CN"/>
              </w:rPr>
              <w:t xml:space="preserve">性、</w:t>
            </w:r>
            <w:r>
              <w:rPr>
                <w:rFonts w:hint="eastAsia" w:ascii="宋体" w:hAnsi="宋体" w:cs="宋体"/>
                <w:sz w:val="24"/>
                <w:szCs w:val="24"/>
                <w:lang w:eastAsia="zh-CN"/>
              </w:rPr>
              <w:t xml:space="preserve">规范</w:t>
            </w:r>
            <w:r>
              <w:rPr>
                <w:rFonts w:hint="eastAsia" w:ascii="宋体" w:hAnsi="宋体" w:eastAsia="宋体" w:cs="宋体"/>
                <w:sz w:val="24"/>
                <w:szCs w:val="24"/>
                <w:lang w:eastAsia="zh-CN"/>
              </w:rPr>
              <w:t xml:space="preserve">性</w:t>
            </w:r>
            <w:r>
              <w:rPr>
                <w:rFonts w:hint="eastAsia" w:ascii="宋体" w:hAnsi="宋体" w:cs="宋体"/>
                <w:sz w:val="24"/>
                <w:szCs w:val="24"/>
                <w:lang w:eastAsia="zh-CN"/>
              </w:rPr>
              <w:t xml:space="preserve">、安全性、</w:t>
            </w:r>
            <w:r>
              <w:rPr>
                <w:rFonts w:hint="eastAsia" w:ascii="宋体" w:hAnsi="宋体" w:eastAsia="宋体" w:cs="宋体"/>
                <w:sz w:val="24"/>
                <w:szCs w:val="24"/>
                <w:lang w:eastAsia="zh-CN"/>
              </w:rPr>
              <w:t xml:space="preserve">能满足建设单位整体项目工期的得</w:t>
            </w: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分 </w:t>
            </w:r>
            <w:r>
              <w:rPr>
                <w:rFonts w:hint="eastAsia" w:ascii="宋体" w:hAnsi="宋体" w:cs="宋体"/>
                <w:sz w:val="24"/>
                <w:szCs w:val="24"/>
                <w:lang w:eastAsia="zh-CN"/>
              </w:rPr>
              <w:t xml:space="preserve">。</w:t>
            </w:r>
            <w:r/>
          </w:p>
          <w:p>
            <w:pPr>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②</w:t>
            </w:r>
            <w:r>
              <w:rPr>
                <w:rFonts w:hint="eastAsia" w:ascii="宋体" w:hAnsi="宋体" w:cs="宋体"/>
                <w:sz w:val="24"/>
                <w:szCs w:val="24"/>
                <w:lang w:eastAsia="zh-CN"/>
              </w:rPr>
              <w:t xml:space="preserve">方案不能</w:t>
            </w:r>
            <w:r>
              <w:rPr>
                <w:rFonts w:hint="eastAsia" w:ascii="宋体" w:hAnsi="宋体" w:eastAsia="宋体" w:cs="宋体"/>
                <w:sz w:val="24"/>
                <w:szCs w:val="24"/>
                <w:lang w:eastAsia="zh-CN"/>
              </w:rPr>
              <w:t xml:space="preserve">详细列出</w:t>
            </w:r>
            <w:r>
              <w:rPr>
                <w:rFonts w:hint="eastAsia" w:ascii="宋体" w:hAnsi="宋体" w:cs="宋体"/>
                <w:sz w:val="24"/>
                <w:szCs w:val="24"/>
                <w:lang w:eastAsia="zh-CN"/>
              </w:rPr>
              <w:t xml:space="preserve">合理</w:t>
            </w:r>
            <w:r>
              <w:rPr>
                <w:rFonts w:hint="eastAsia" w:ascii="宋体" w:hAnsi="宋体" w:eastAsia="宋体" w:cs="宋体"/>
                <w:sz w:val="24"/>
                <w:szCs w:val="24"/>
                <w:lang w:eastAsia="zh-CN"/>
              </w:rPr>
              <w:t xml:space="preserve">性、</w:t>
            </w:r>
            <w:r>
              <w:rPr>
                <w:rFonts w:hint="eastAsia" w:ascii="宋体" w:hAnsi="宋体" w:cs="宋体"/>
                <w:sz w:val="24"/>
                <w:szCs w:val="24"/>
                <w:lang w:eastAsia="zh-CN"/>
              </w:rPr>
              <w:t xml:space="preserve">规范</w:t>
            </w:r>
            <w:r>
              <w:rPr>
                <w:rFonts w:hint="eastAsia" w:ascii="宋体" w:hAnsi="宋体" w:eastAsia="宋体" w:cs="宋体"/>
                <w:sz w:val="24"/>
                <w:szCs w:val="24"/>
                <w:lang w:eastAsia="zh-CN"/>
              </w:rPr>
              <w:t xml:space="preserve">性</w:t>
            </w:r>
            <w:r>
              <w:rPr>
                <w:rFonts w:hint="eastAsia" w:ascii="宋体" w:hAnsi="宋体" w:cs="宋体"/>
                <w:sz w:val="24"/>
                <w:szCs w:val="24"/>
                <w:lang w:eastAsia="zh-CN"/>
              </w:rPr>
              <w:t xml:space="preserve">、安全性、勉强</w:t>
            </w:r>
            <w:r>
              <w:rPr>
                <w:rFonts w:hint="eastAsia" w:ascii="宋体" w:hAnsi="宋体" w:eastAsia="宋体" w:cs="宋体"/>
                <w:sz w:val="24"/>
                <w:szCs w:val="24"/>
                <w:lang w:eastAsia="zh-CN"/>
              </w:rPr>
              <w:t xml:space="preserve">满足建设单位整体项目工期的得</w:t>
            </w:r>
            <w:r>
              <w:rPr>
                <w:rFonts w:hint="eastAsia" w:ascii="宋体" w:hAnsi="宋体" w:cs="宋体"/>
                <w:sz w:val="24"/>
                <w:szCs w:val="24"/>
                <w:lang w:val="en-US" w:eastAsia="zh-CN"/>
              </w:rPr>
              <w:t xml:space="preserve">1</w:t>
            </w:r>
            <w:r>
              <w:rPr>
                <w:rFonts w:hint="eastAsia" w:ascii="宋体" w:hAnsi="宋体" w:eastAsia="宋体" w:cs="宋体"/>
                <w:sz w:val="24"/>
                <w:szCs w:val="24"/>
                <w:lang w:eastAsia="zh-CN"/>
              </w:rPr>
              <w:t xml:space="preserve">分 </w:t>
            </w:r>
            <w:r>
              <w:rPr>
                <w:rFonts w:hint="eastAsia" w:ascii="宋体" w:hAnsi="宋体" w:cs="宋体"/>
                <w:sz w:val="24"/>
                <w:szCs w:val="24"/>
                <w:lang w:eastAsia="zh-CN"/>
              </w:rPr>
              <w:t xml:space="preserve">。</w:t>
            </w:r>
            <w:r/>
          </w:p>
          <w:p>
            <w:pPr>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3、安装调试方案（</w:t>
            </w:r>
            <w:r>
              <w:rPr>
                <w:rFonts w:hint="eastAsia" w:ascii="宋体" w:hAnsi="宋体" w:cs="宋体"/>
                <w:b/>
                <w:bCs/>
                <w:sz w:val="24"/>
                <w:szCs w:val="24"/>
                <w:lang w:val="en-US" w:eastAsia="zh-CN"/>
              </w:rPr>
              <w:t xml:space="preserve">8</w:t>
            </w:r>
            <w:r>
              <w:rPr>
                <w:rFonts w:hint="eastAsia" w:ascii="宋体" w:hAnsi="宋体" w:eastAsia="宋体" w:cs="宋体"/>
                <w:b/>
                <w:bCs/>
                <w:sz w:val="24"/>
                <w:szCs w:val="24"/>
                <w:lang w:eastAsia="zh-CN"/>
              </w:rPr>
              <w:t xml:space="preserve">分）：</w:t>
            </w:r>
            <w:r/>
          </w:p>
          <w:p>
            <w:pPr>
              <w:widowControl w:val="off"/>
              <w:rPr>
                <w:rFonts w:ascii="宋体" w:hAnsi="宋体" w:eastAsia="宋体" w:cs="宋体"/>
                <w:sz w:val="24"/>
                <w:szCs w:val="24"/>
                <w:lang w:eastAsia="zh-CN"/>
              </w:rPr>
            </w:pPr>
            <w:r>
              <w:rPr>
                <w:rFonts w:hint="eastAsia" w:ascii="宋体" w:hAnsi="宋体" w:cs="宋体"/>
                <w:sz w:val="24"/>
                <w:szCs w:val="24"/>
                <w:lang w:eastAsia="zh-CN"/>
              </w:rPr>
              <w:t xml:space="preserve">评委会</w:t>
            </w:r>
            <w:r>
              <w:rPr>
                <w:rFonts w:hint="eastAsia" w:ascii="宋体" w:hAnsi="宋体" w:eastAsia="宋体" w:cs="宋体"/>
                <w:sz w:val="24"/>
                <w:szCs w:val="24"/>
                <w:lang w:eastAsia="zh-CN"/>
              </w:rPr>
              <w:t xml:space="preserve">根据投标人所提供的针对本次项目所编制的项目整体进度安排，安装及调试方案，包括但不限于杆件、设备的安装调试；前端各子系统（建设点位）测试；各子系统的初调及联调等</w:t>
            </w:r>
            <w:r>
              <w:rPr>
                <w:rFonts w:hint="eastAsia" w:ascii="宋体" w:hAnsi="宋体" w:cs="宋体"/>
                <w:sz w:val="24"/>
                <w:szCs w:val="24"/>
                <w:lang w:eastAsia="zh-CN"/>
              </w:rPr>
              <w:t xml:space="preserve">进行打分</w:t>
            </w:r>
            <w:r>
              <w:rPr>
                <w:rFonts w:hint="eastAsia" w:ascii="宋体" w:hAnsi="宋体" w:eastAsia="宋体" w:cs="宋体"/>
                <w:sz w:val="24"/>
                <w:szCs w:val="24"/>
                <w:lang w:eastAsia="zh-CN"/>
              </w:rPr>
              <w:t xml:space="preserve">。</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①方案</w:t>
            </w:r>
            <w:r>
              <w:rPr>
                <w:rFonts w:hint="eastAsia" w:ascii="宋体" w:hAnsi="宋体" w:cs="宋体"/>
                <w:sz w:val="24"/>
                <w:szCs w:val="24"/>
                <w:lang w:eastAsia="zh-CN"/>
              </w:rPr>
              <w:t xml:space="preserve">包括</w:t>
            </w:r>
            <w:r>
              <w:rPr>
                <w:rFonts w:hint="eastAsia" w:ascii="宋体" w:hAnsi="宋体" w:eastAsia="宋体" w:cs="宋体"/>
                <w:sz w:val="24"/>
                <w:szCs w:val="24"/>
                <w:lang w:eastAsia="zh-CN"/>
              </w:rPr>
              <w:t xml:space="preserve">项目整体进度安排，安装及调试方案，包括但不限于杆件、设备的安装调试；前端各子系统（建设点位）测试；各子系统的初调及联调等的得</w:t>
            </w:r>
            <w:r>
              <w:rPr>
                <w:rFonts w:hint="eastAsia" w:ascii="宋体" w:hAnsi="宋体" w:cs="宋体"/>
                <w:sz w:val="24"/>
                <w:szCs w:val="24"/>
                <w:lang w:val="en-US" w:eastAsia="zh-CN"/>
              </w:rPr>
              <w:t xml:space="preserve">8</w:t>
            </w:r>
            <w:r>
              <w:rPr>
                <w:rFonts w:hint="eastAsia" w:ascii="宋体" w:hAnsi="宋体" w:eastAsia="宋体" w:cs="宋体"/>
                <w:sz w:val="24"/>
                <w:szCs w:val="24"/>
                <w:lang w:eastAsia="zh-CN"/>
              </w:rPr>
              <w:t xml:space="preserve">分； </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②方案</w:t>
            </w:r>
            <w:r>
              <w:rPr>
                <w:rFonts w:hint="eastAsia" w:ascii="宋体" w:hAnsi="宋体" w:cs="宋体"/>
                <w:sz w:val="24"/>
                <w:szCs w:val="24"/>
                <w:lang w:eastAsia="zh-CN"/>
              </w:rPr>
              <w:t xml:space="preserve">包括</w:t>
            </w:r>
            <w:r>
              <w:rPr>
                <w:rFonts w:hint="eastAsia" w:ascii="宋体" w:hAnsi="宋体" w:eastAsia="宋体" w:cs="宋体"/>
                <w:sz w:val="24"/>
                <w:szCs w:val="24"/>
                <w:lang w:eastAsia="zh-CN"/>
              </w:rPr>
              <w:t xml:space="preserve">项目整体进度安排，安装及调试方案，包括但不限于杆件、设备的安装调试；前端各子系统（建设点位）测试的得</w:t>
            </w: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t xml:space="preserve">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③方案</w:t>
            </w:r>
            <w:r>
              <w:rPr>
                <w:rFonts w:hint="eastAsia" w:ascii="宋体" w:hAnsi="宋体" w:cs="宋体"/>
                <w:sz w:val="24"/>
                <w:szCs w:val="24"/>
                <w:lang w:eastAsia="zh-CN"/>
              </w:rPr>
              <w:t xml:space="preserve">包括</w:t>
            </w:r>
            <w:r>
              <w:rPr>
                <w:rFonts w:hint="eastAsia" w:ascii="宋体" w:hAnsi="宋体" w:eastAsia="宋体" w:cs="宋体"/>
                <w:sz w:val="24"/>
                <w:szCs w:val="24"/>
                <w:lang w:eastAsia="zh-CN"/>
              </w:rPr>
              <w:t xml:space="preserve">项目整体进度安排，安装及调试方案，包括但不限于杆件、设备的安装调试的得</w:t>
            </w: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分；</w:t>
            </w:r>
            <w:r/>
          </w:p>
          <w:p>
            <w:pPr>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4、信号及数据接入方案（</w:t>
            </w:r>
            <w:r>
              <w:rPr>
                <w:rFonts w:hint="eastAsia" w:ascii="宋体" w:hAnsi="宋体" w:cs="宋体"/>
                <w:b/>
                <w:bCs/>
                <w:sz w:val="24"/>
                <w:szCs w:val="24"/>
                <w:lang w:val="en-US" w:eastAsia="zh-CN"/>
              </w:rPr>
              <w:t xml:space="preserve">3</w:t>
            </w:r>
            <w:r>
              <w:rPr>
                <w:rFonts w:hint="eastAsia" w:ascii="宋体" w:hAnsi="宋体" w:eastAsia="宋体" w:cs="宋体"/>
                <w:b/>
                <w:bCs/>
                <w:sz w:val="24"/>
                <w:szCs w:val="24"/>
                <w:lang w:eastAsia="zh-CN"/>
              </w:rPr>
              <w:t xml:space="preserve">分）：</w:t>
            </w:r>
            <w:r/>
          </w:p>
          <w:p>
            <w:pPr>
              <w:widowControl w:val="off"/>
              <w:rPr>
                <w:rFonts w:ascii="宋体" w:hAnsi="宋体" w:eastAsia="宋体" w:cs="宋体"/>
                <w:sz w:val="24"/>
                <w:szCs w:val="24"/>
                <w:lang w:eastAsia="zh-CN"/>
              </w:rPr>
            </w:pPr>
            <w:r>
              <w:rPr>
                <w:rFonts w:hint="eastAsia" w:ascii="宋体" w:hAnsi="宋体" w:cs="宋体"/>
                <w:sz w:val="24"/>
                <w:szCs w:val="24"/>
                <w:lang w:eastAsia="zh-CN"/>
              </w:rPr>
              <w:t xml:space="preserve">评委会</w:t>
            </w:r>
            <w:r>
              <w:rPr>
                <w:rFonts w:hint="eastAsia" w:ascii="宋体" w:hAnsi="宋体" w:eastAsia="宋体" w:cs="宋体"/>
                <w:sz w:val="24"/>
                <w:szCs w:val="24"/>
                <w:lang w:eastAsia="zh-CN"/>
              </w:rPr>
              <w:t xml:space="preserve">根据投标人所提供的针对本次项目特点所编制的项目建设各子系统</w:t>
            </w:r>
            <w:r>
              <w:rPr>
                <w:rFonts w:hint="eastAsia" w:ascii="宋体" w:hAnsi="宋体" w:cs="宋体"/>
                <w:sz w:val="24"/>
                <w:szCs w:val="24"/>
                <w:lang w:eastAsia="zh-CN"/>
              </w:rPr>
              <w:t xml:space="preserve">详细、可行的</w:t>
            </w:r>
            <w:r>
              <w:rPr>
                <w:rFonts w:hint="eastAsia" w:ascii="宋体" w:hAnsi="宋体" w:eastAsia="宋体" w:cs="宋体"/>
                <w:sz w:val="24"/>
                <w:szCs w:val="24"/>
                <w:lang w:eastAsia="zh-CN"/>
              </w:rPr>
              <w:t xml:space="preserve">信号及数据接入方案，确保前端各类信号及数据无缝接入</w:t>
            </w:r>
            <w:r>
              <w:rPr>
                <w:rFonts w:hint="eastAsia" w:ascii="宋体" w:hAnsi="宋体" w:eastAsia="宋体" w:cs="宋体"/>
                <w:sz w:val="24"/>
                <w:szCs w:val="24"/>
                <w:highlight w:val="none"/>
                <w:lang w:eastAsia="zh-CN"/>
              </w:rPr>
              <w:t xml:space="preserve">交警机房</w:t>
            </w:r>
            <w:r>
              <w:rPr>
                <w:rFonts w:hint="eastAsia" w:ascii="宋体" w:hAnsi="宋体" w:eastAsia="宋体" w:cs="宋体"/>
                <w:sz w:val="24"/>
                <w:szCs w:val="24"/>
                <w:lang w:eastAsia="zh-CN"/>
              </w:rPr>
              <w:t xml:space="preserve">各类服务器及平台，满足本次项目整体建设工期要求</w:t>
            </w:r>
            <w:r>
              <w:rPr>
                <w:rFonts w:hint="eastAsia" w:ascii="宋体" w:hAnsi="宋体" w:cs="宋体"/>
                <w:sz w:val="24"/>
                <w:szCs w:val="24"/>
                <w:lang w:eastAsia="zh-CN"/>
              </w:rPr>
              <w:t xml:space="preserve">进行打分</w:t>
            </w:r>
            <w:r>
              <w:rPr>
                <w:rFonts w:hint="eastAsia" w:ascii="宋体" w:hAnsi="宋体" w:eastAsia="宋体" w:cs="宋体"/>
                <w:sz w:val="24"/>
                <w:szCs w:val="24"/>
                <w:lang w:eastAsia="zh-CN"/>
              </w:rPr>
              <w:t xml:space="preserve">；</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①方案</w:t>
            </w:r>
            <w:r>
              <w:rPr>
                <w:rFonts w:hint="eastAsia" w:ascii="宋体" w:hAnsi="宋体" w:cs="宋体"/>
                <w:sz w:val="24"/>
                <w:szCs w:val="24"/>
                <w:lang w:eastAsia="zh-CN"/>
              </w:rPr>
              <w:t xml:space="preserve">包括</w:t>
            </w:r>
            <w:r>
              <w:rPr>
                <w:rFonts w:hint="eastAsia" w:ascii="宋体" w:hAnsi="宋体" w:eastAsia="宋体" w:cs="宋体"/>
                <w:sz w:val="24"/>
                <w:szCs w:val="24"/>
                <w:lang w:eastAsia="zh-CN"/>
              </w:rPr>
              <w:t xml:space="preserve">项目建设各子系统</w:t>
            </w:r>
            <w:r>
              <w:rPr>
                <w:rFonts w:hint="eastAsia" w:ascii="宋体" w:hAnsi="宋体" w:cs="宋体"/>
                <w:sz w:val="24"/>
                <w:szCs w:val="24"/>
                <w:lang w:eastAsia="zh-CN"/>
              </w:rPr>
              <w:t xml:space="preserve">详细、可行的</w:t>
            </w:r>
            <w:r>
              <w:rPr>
                <w:rFonts w:hint="eastAsia" w:ascii="宋体" w:hAnsi="宋体" w:eastAsia="宋体" w:cs="宋体"/>
                <w:sz w:val="24"/>
                <w:szCs w:val="24"/>
                <w:lang w:eastAsia="zh-CN"/>
              </w:rPr>
              <w:t xml:space="preserve">信号及数据接入方案，确保前端各类信号及数据无缝接入</w:t>
            </w:r>
            <w:r>
              <w:rPr>
                <w:rFonts w:hint="eastAsia" w:ascii="宋体" w:hAnsi="宋体" w:eastAsia="宋体" w:cs="宋体"/>
                <w:sz w:val="24"/>
                <w:szCs w:val="24"/>
                <w:highlight w:val="none"/>
                <w:lang w:eastAsia="zh-CN"/>
              </w:rPr>
              <w:t xml:space="preserve">交警机房</w:t>
            </w:r>
            <w:r>
              <w:rPr>
                <w:rFonts w:hint="eastAsia" w:ascii="宋体" w:hAnsi="宋体" w:eastAsia="宋体" w:cs="宋体"/>
                <w:sz w:val="24"/>
                <w:szCs w:val="24"/>
                <w:lang w:eastAsia="zh-CN"/>
              </w:rPr>
              <w:t xml:space="preserve">各类服务器及平台，满足本次项目整体建设工期要求</w:t>
            </w:r>
            <w:r>
              <w:rPr>
                <w:rFonts w:hint="eastAsia" w:ascii="宋体" w:hAnsi="宋体" w:cs="宋体"/>
                <w:sz w:val="24"/>
                <w:szCs w:val="24"/>
                <w:lang w:eastAsia="zh-CN"/>
              </w:rPr>
              <w:t xml:space="preserve">的得</w:t>
            </w:r>
            <w:r>
              <w:rPr>
                <w:rFonts w:hint="eastAsia" w:ascii="宋体" w:hAnsi="宋体" w:cs="宋体"/>
                <w:sz w:val="24"/>
                <w:szCs w:val="24"/>
                <w:lang w:val="en-US" w:eastAsia="zh-CN"/>
              </w:rPr>
              <w:t xml:space="preserve">3分</w:t>
            </w:r>
            <w:r>
              <w:rPr>
                <w:rFonts w:hint="eastAsia" w:ascii="宋体" w:hAnsi="宋体" w:cs="宋体"/>
                <w:sz w:val="24"/>
                <w:szCs w:val="24"/>
                <w:lang w:eastAsia="zh-CN"/>
              </w:rPr>
              <w:t xml:space="preserve">。</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②方案</w:t>
            </w:r>
            <w:r>
              <w:rPr>
                <w:rFonts w:hint="eastAsia" w:ascii="宋体" w:hAnsi="宋体" w:cs="宋体"/>
                <w:sz w:val="24"/>
                <w:szCs w:val="24"/>
                <w:lang w:eastAsia="zh-CN"/>
              </w:rPr>
              <w:t xml:space="preserve">包括</w:t>
            </w:r>
            <w:r>
              <w:rPr>
                <w:rFonts w:hint="eastAsia" w:ascii="宋体" w:hAnsi="宋体" w:eastAsia="宋体" w:cs="宋体"/>
                <w:sz w:val="24"/>
                <w:szCs w:val="24"/>
                <w:lang w:eastAsia="zh-CN"/>
              </w:rPr>
              <w:t xml:space="preserve">项目建设各子系统</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信号及数据接入方案，</w:t>
            </w:r>
            <w:r>
              <w:rPr>
                <w:rFonts w:hint="eastAsia" w:ascii="宋体" w:hAnsi="宋体" w:cs="宋体"/>
                <w:sz w:val="24"/>
                <w:szCs w:val="24"/>
                <w:lang w:eastAsia="zh-CN"/>
              </w:rPr>
              <w:t xml:space="preserve">勉强满足</w:t>
            </w:r>
            <w:r>
              <w:rPr>
                <w:rFonts w:hint="eastAsia" w:ascii="宋体" w:hAnsi="宋体" w:eastAsia="宋体" w:cs="宋体"/>
                <w:sz w:val="24"/>
                <w:szCs w:val="24"/>
                <w:lang w:eastAsia="zh-CN"/>
              </w:rPr>
              <w:t xml:space="preserve">本次项目整体建设工期要求</w:t>
            </w:r>
            <w:r>
              <w:rPr>
                <w:rFonts w:hint="eastAsia" w:ascii="宋体" w:hAnsi="宋体" w:cs="宋体"/>
                <w:sz w:val="24"/>
                <w:szCs w:val="24"/>
                <w:lang w:eastAsia="zh-CN"/>
              </w:rPr>
              <w:t xml:space="preserve">的得</w:t>
            </w:r>
            <w:r>
              <w:rPr>
                <w:rFonts w:hint="eastAsia" w:ascii="宋体" w:hAnsi="宋体" w:cs="宋体"/>
                <w:sz w:val="24"/>
                <w:szCs w:val="24"/>
                <w:lang w:val="en-US" w:eastAsia="zh-CN"/>
              </w:rPr>
              <w:t xml:space="preserve">1分</w:t>
            </w:r>
            <w:r>
              <w:rPr>
                <w:rFonts w:hint="eastAsia" w:ascii="宋体" w:hAnsi="宋体" w:cs="宋体"/>
                <w:sz w:val="24"/>
                <w:szCs w:val="24"/>
                <w:lang w:eastAsia="zh-CN"/>
              </w:rPr>
              <w:t xml:space="preserve">。</w:t>
            </w:r>
            <w:r/>
          </w:p>
          <w:p>
            <w:pPr>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5、培训方案（</w:t>
            </w:r>
            <w:r>
              <w:rPr>
                <w:rFonts w:hint="eastAsia" w:ascii="宋体" w:hAnsi="宋体" w:cs="宋体"/>
                <w:b/>
                <w:bCs/>
                <w:sz w:val="24"/>
                <w:szCs w:val="24"/>
                <w:lang w:val="en-US" w:eastAsia="zh-CN"/>
              </w:rPr>
              <w:t xml:space="preserve">5</w:t>
            </w:r>
            <w:r>
              <w:rPr>
                <w:rFonts w:hint="eastAsia" w:ascii="宋体" w:hAnsi="宋体" w:eastAsia="宋体" w:cs="宋体"/>
                <w:b/>
                <w:bCs/>
                <w:sz w:val="24"/>
                <w:szCs w:val="24"/>
                <w:lang w:eastAsia="zh-CN"/>
              </w:rPr>
              <w:t xml:space="preserve">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根据投标人所提供的针对本次项目特点所编制的施工期间系统设备熟悉培训、操作使用培训、系统管理培训、应急预案培训、日常维护等必要的培训</w:t>
            </w:r>
            <w:r>
              <w:rPr>
                <w:rFonts w:hint="eastAsia" w:ascii="宋体" w:hAnsi="宋体" w:cs="宋体"/>
                <w:sz w:val="24"/>
                <w:szCs w:val="24"/>
                <w:lang w:eastAsia="zh-CN"/>
              </w:rPr>
              <w:t xml:space="preserve">方案进行打分</w:t>
            </w:r>
            <w:r>
              <w:rPr>
                <w:rFonts w:hint="eastAsia" w:ascii="宋体" w:hAnsi="宋体" w:eastAsia="宋体" w:cs="宋体"/>
                <w:sz w:val="24"/>
                <w:szCs w:val="24"/>
                <w:lang w:eastAsia="zh-CN"/>
              </w:rPr>
              <w:t xml:space="preserve">。</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①方案</w:t>
            </w:r>
            <w:r>
              <w:rPr>
                <w:rFonts w:hint="eastAsia" w:ascii="宋体" w:hAnsi="宋体" w:cs="宋体"/>
                <w:sz w:val="24"/>
                <w:szCs w:val="24"/>
                <w:lang w:eastAsia="zh-CN"/>
              </w:rPr>
              <w:t xml:space="preserve">包括</w:t>
            </w:r>
            <w:r>
              <w:rPr>
                <w:rFonts w:hint="eastAsia" w:ascii="宋体" w:hAnsi="宋体" w:eastAsia="宋体" w:cs="宋体"/>
                <w:sz w:val="24"/>
                <w:szCs w:val="24"/>
                <w:lang w:eastAsia="zh-CN"/>
              </w:rPr>
              <w:t xml:space="preserve">施工期间系统设备熟悉培训、操作使用培训、系统管理培训、应急预案培训、日常维护等必要的培训得</w:t>
            </w: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t xml:space="preserve">分； </w:t>
            </w:r>
            <w:r/>
          </w:p>
          <w:p>
            <w:pPr>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②方案</w:t>
            </w:r>
            <w:r>
              <w:rPr>
                <w:rFonts w:hint="eastAsia" w:ascii="宋体" w:hAnsi="宋体" w:cs="宋体"/>
                <w:sz w:val="24"/>
                <w:szCs w:val="24"/>
                <w:lang w:eastAsia="zh-CN"/>
              </w:rPr>
              <w:t xml:space="preserve">包括</w:t>
            </w:r>
            <w:r>
              <w:rPr>
                <w:rFonts w:hint="eastAsia" w:ascii="宋体" w:hAnsi="宋体" w:eastAsia="宋体" w:cs="宋体"/>
                <w:sz w:val="24"/>
                <w:szCs w:val="24"/>
                <w:lang w:eastAsia="zh-CN"/>
              </w:rPr>
              <w:t xml:space="preserve">施工期间系统设备熟悉培训、操作使用培训、系统管理培训、应急预案培训的得</w:t>
            </w: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分；</w:t>
            </w:r>
            <w:r/>
          </w:p>
          <w:p>
            <w:pPr>
              <w:widowControl w:val="off"/>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③方案</w:t>
            </w:r>
            <w:r>
              <w:rPr>
                <w:rFonts w:hint="eastAsia" w:ascii="宋体" w:hAnsi="宋体" w:cs="宋体"/>
                <w:sz w:val="24"/>
                <w:szCs w:val="24"/>
                <w:lang w:eastAsia="zh-CN"/>
              </w:rPr>
              <w:t xml:space="preserve">包括</w:t>
            </w:r>
            <w:r>
              <w:rPr>
                <w:rFonts w:hint="eastAsia" w:ascii="宋体" w:hAnsi="宋体" w:eastAsia="宋体" w:cs="宋体"/>
                <w:sz w:val="24"/>
                <w:szCs w:val="24"/>
                <w:lang w:eastAsia="zh-CN"/>
              </w:rPr>
              <w:t xml:space="preserve">施工期间系统设备熟悉培训、操作使用培训、系统管理培训</w:t>
            </w:r>
            <w:r>
              <w:rPr>
                <w:rFonts w:hint="eastAsia" w:ascii="宋体" w:hAnsi="宋体" w:cs="宋体"/>
                <w:sz w:val="24"/>
                <w:szCs w:val="24"/>
                <w:lang w:eastAsia="zh-CN"/>
              </w:rPr>
              <w:t xml:space="preserve">的得</w:t>
            </w:r>
            <w:r>
              <w:rPr>
                <w:rFonts w:hint="eastAsia" w:ascii="宋体" w:hAnsi="宋体" w:cs="宋体"/>
                <w:sz w:val="24"/>
                <w:szCs w:val="24"/>
                <w:lang w:val="en-US" w:eastAsia="zh-CN"/>
              </w:rPr>
              <w:t xml:space="preserve">1分。</w:t>
            </w:r>
            <w:r/>
          </w:p>
          <w:p>
            <w:pPr>
              <w:spacing w:line="400" w:lineRule="exact"/>
              <w:rPr>
                <w:lang w:eastAsia="zh-CN"/>
              </w:rPr>
            </w:pPr>
            <w:r>
              <w:rPr>
                <w:rFonts w:hint="eastAsia" w:ascii="Times New Roman" w:hAnsi="Times New Roman" w:eastAsia="宋体" w:cs="Times New Roman"/>
                <w:b/>
                <w:bCs/>
                <w:sz w:val="24"/>
                <w:szCs w:val="24"/>
                <w:lang w:eastAsia="zh-CN"/>
              </w:rPr>
              <w:t xml:space="preserve">注：需提供方案，不提供不得分。</w:t>
            </w:r>
            <w:r/>
          </w:p>
        </w:tc>
        <w:tc>
          <w:tcPr>
            <w:tcW w:w="362" w:type="pct"/>
            <w:vAlign w:val="center"/>
            <w:textDirection w:val="lrTb"/>
            <w:noWrap w:val="false"/>
          </w:tcPr>
          <w:p>
            <w:pPr>
              <w:pStyle w:val="814"/>
              <w:ind w:firstLine="0"/>
              <w:jc w:val="center"/>
              <w:spacing w:line="3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28</w:t>
            </w:r>
            <w:r/>
          </w:p>
        </w:tc>
      </w:tr>
      <w:tr>
        <w:trPr>
          <w:jc w:val="center"/>
          <w:trHeight w:val="882"/>
        </w:trPr>
        <w:tc>
          <w:tcPr>
            <w:tcW w:w="354" w:type="pct"/>
            <w:vAlign w:val="center"/>
            <w:textDirection w:val="lrTb"/>
            <w:noWrap w:val="false"/>
          </w:tcPr>
          <w:p>
            <w:pPr>
              <w:pStyle w:val="814"/>
              <w:ind w:firstLine="0"/>
              <w:spacing w:line="360" w:lineRule="exact"/>
              <w:rPr>
                <w:rFonts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c>
          <w:tcPr>
            <w:tcW w:w="986" w:type="pct"/>
            <w:vAlign w:val="center"/>
            <w:textDirection w:val="lrTb"/>
            <w:noWrap w:val="false"/>
          </w:tcPr>
          <w:p>
            <w:pPr>
              <w:pStyle w:val="814"/>
              <w:ind w:firstLine="0"/>
              <w:spacing w:line="36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售后部分（</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分）</w:t>
            </w:r>
            <w:r/>
          </w:p>
        </w:tc>
        <w:tc>
          <w:tcPr>
            <w:tcW w:w="3296" w:type="pct"/>
            <w:vAlign w:val="center"/>
            <w:textDirection w:val="lrTb"/>
            <w:noWrap w:val="false"/>
          </w:tcPr>
          <w:p>
            <w:pPr>
              <w:numPr>
                <w:ilvl w:val="0"/>
                <w:numId w:val="8"/>
              </w:numPr>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供应商除满足本项目质保期要求外，针对本项目所有内容承诺免费质保期每延长一年可得1分，本项最多得3分。</w:t>
            </w:r>
            <w:r>
              <w:rPr>
                <w:rFonts w:hint="eastAsia" w:ascii="宋体" w:hAnsi="宋体" w:eastAsia="宋体" w:cs="宋体"/>
                <w:b/>
                <w:bCs/>
                <w:sz w:val="24"/>
                <w:szCs w:val="24"/>
                <w:lang w:eastAsia="zh-CN"/>
              </w:rPr>
              <w:t xml:space="preserve">(提供承诺书加盖公章上传，不提供不得分)</w:t>
            </w:r>
            <w:r/>
          </w:p>
          <w:p>
            <w:pPr>
              <w:numPr>
                <w:ilvl w:val="0"/>
                <w:numId w:val="0"/>
              </w:numPr>
              <w:widowControl w:val="off"/>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供应商能提供方便快捷的售后维修服务，针对本项目所有内容承诺能实时响应、1小时内赶到现场，</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小时内排除解决前端硬件故障，超过</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小时无法现场修复的，免费用同品牌、同规格或更高的部件更换维修到位的得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lang w:eastAsia="zh-CN"/>
              </w:rPr>
              <w:t xml:space="preserve">分。</w:t>
            </w:r>
            <w:r>
              <w:rPr>
                <w:rFonts w:hint="eastAsia" w:ascii="宋体" w:hAnsi="宋体" w:eastAsia="宋体" w:cs="宋体"/>
                <w:b/>
                <w:bCs/>
                <w:sz w:val="24"/>
                <w:szCs w:val="24"/>
                <w:lang w:eastAsia="zh-CN"/>
              </w:rPr>
              <w:t xml:space="preserve">(提供承诺书加盖公章上传，不提供不得分)</w:t>
            </w:r>
            <w:r/>
          </w:p>
        </w:tc>
        <w:tc>
          <w:tcPr>
            <w:tcW w:w="362" w:type="pct"/>
            <w:vAlign w:val="center"/>
            <w:textDirection w:val="lrTb"/>
            <w:noWrap w:val="false"/>
          </w:tcPr>
          <w:p>
            <w:pPr>
              <w:pStyle w:val="814"/>
              <w:ind w:firstLine="0"/>
              <w:jc w:val="center"/>
              <w:spacing w:line="360" w:lineRule="exact"/>
              <w:rPr>
                <w:rFonts w:ascii="宋体" w:hAnsi="宋体" w:eastAsia="宋体" w:cs="宋体"/>
                <w:sz w:val="24"/>
                <w:szCs w:val="24"/>
                <w:lang w:eastAsia="zh-CN"/>
              </w:rPr>
            </w:pPr>
            <w:r>
              <w:rPr>
                <w:rFonts w:hint="eastAsia" w:ascii="宋体" w:hAnsi="宋体" w:cs="宋体"/>
                <w:sz w:val="24"/>
                <w:szCs w:val="24"/>
                <w:lang w:val="en-US" w:eastAsia="zh-CN"/>
              </w:rPr>
              <w:t xml:space="preserve">5</w:t>
            </w:r>
            <w:r/>
          </w:p>
        </w:tc>
      </w:tr>
    </w:tbl>
    <w:p>
      <w:pPr>
        <w:keepLines w:val="0"/>
        <w:keepNext w:val="0"/>
        <w:pageBreakBefore w:val="0"/>
        <w:spacing w:line="360" w:lineRule="auto"/>
        <w:widowControl w:val="off"/>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注</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rPr>
        <w:t xml:space="preserve">1</w:t>
      </w:r>
      <w:r>
        <w:rPr>
          <w:rFonts w:hint="eastAsia" w:ascii="宋体" w:hAnsi="宋体" w:cs="宋体"/>
          <w:b w:val="0"/>
          <w:bCs w:val="0"/>
          <w:color w:val="auto"/>
          <w:sz w:val="24"/>
          <w:szCs w:val="24"/>
          <w:lang w:val="en-US" w:eastAsia="zh-CN"/>
        </w:rPr>
        <w:t xml:space="preserve">.</w:t>
      </w:r>
      <w:r>
        <w:rPr>
          <w:rFonts w:hint="eastAsia" w:ascii="宋体" w:hAnsi="宋体" w:cs="宋体"/>
          <w:b/>
          <w:bCs/>
          <w:color w:val="ff0000"/>
          <w:sz w:val="24"/>
          <w:szCs w:val="24"/>
        </w:rPr>
        <w:t xml:space="preserve">以上所有要求提供的证明材料在投标截止时间之前扫描件加盖公章</w:t>
      </w:r>
      <w:r>
        <w:rPr>
          <w:rFonts w:hint="eastAsia" w:ascii="宋体" w:hAnsi="宋体" w:cs="宋体"/>
          <w:b/>
          <w:bCs/>
          <w:color w:val="ff0000"/>
          <w:sz w:val="24"/>
          <w:szCs w:val="24"/>
          <w:lang w:eastAsia="zh-CN"/>
        </w:rPr>
        <w:t xml:space="preserve">（</w:t>
      </w:r>
      <w:r>
        <w:rPr>
          <w:rFonts w:hint="eastAsia" w:ascii="宋体" w:hAnsi="宋体" w:cs="宋体"/>
          <w:b/>
          <w:bCs/>
          <w:color w:val="ff0000"/>
          <w:sz w:val="24"/>
          <w:szCs w:val="24"/>
        </w:rPr>
        <w:t xml:space="preserve">电子公章</w:t>
      </w:r>
      <w:r>
        <w:rPr>
          <w:rFonts w:hint="eastAsia" w:ascii="宋体" w:hAnsi="宋体" w:cs="宋体"/>
          <w:b/>
          <w:bCs/>
          <w:color w:val="ff0000"/>
          <w:sz w:val="24"/>
          <w:szCs w:val="24"/>
          <w:lang w:eastAsia="zh-CN"/>
        </w:rPr>
        <w:t xml:space="preserve">）</w:t>
      </w:r>
      <w:r>
        <w:rPr>
          <w:rFonts w:hint="eastAsia" w:ascii="宋体" w:hAnsi="宋体" w:cs="宋体"/>
          <w:b/>
          <w:bCs/>
          <w:color w:val="ff0000"/>
          <w:sz w:val="24"/>
          <w:szCs w:val="24"/>
        </w:rPr>
        <w:t xml:space="preserve">上传</w:t>
      </w:r>
      <w:r>
        <w:rPr>
          <w:rFonts w:hint="eastAsia" w:ascii="宋体" w:hAnsi="宋体" w:cs="宋体"/>
          <w:b w:val="0"/>
          <w:bCs w:val="0"/>
          <w:color w:val="auto"/>
          <w:sz w:val="24"/>
          <w:szCs w:val="24"/>
        </w:rPr>
        <w:t xml:space="preserve">，用投标文件制作工具制作并生成上传至苏采云平台，纸质文件不作为审查对象。</w:t>
      </w:r>
      <w:r/>
    </w:p>
    <w:p>
      <w:pPr>
        <w:keepLines w:val="0"/>
        <w:keepNext w:val="0"/>
        <w:pageBreakBefore w:val="0"/>
        <w:spacing w:line="360" w:lineRule="auto"/>
        <w:widowControl w:val="off"/>
        <w:rPr>
          <w:rFonts w:hint="eastAsia" w:ascii="宋体" w:hAnsi="宋体" w:cs="宋体"/>
          <w:b/>
          <w:bCs/>
          <w:color w:val="auto"/>
          <w:sz w:val="36"/>
          <w:szCs w:val="36"/>
        </w:rPr>
      </w:pPr>
      <w:r>
        <w:rPr>
          <w:rFonts w:hint="eastAsia" w:ascii="宋体" w:hAnsi="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w:t>
      </w:r>
      <w:r>
        <w:rPr>
          <w:rFonts w:hint="eastAsia" w:ascii="宋体" w:hAnsi="宋体" w:cs="宋体"/>
          <w:b w:val="0"/>
          <w:bCs w:val="0"/>
          <w:color w:val="auto"/>
          <w:sz w:val="24"/>
          <w:szCs w:val="24"/>
        </w:rPr>
        <w:t xml:space="preserve">投标人所提供的资格证明材料应真实、有效，招标人保留对投标人提供的资格证明材料进行核查的权利。如发现投标人提供虚假资格证明材料，履约保证金</w:t>
      </w:r>
      <w:r>
        <w:rPr>
          <w:rFonts w:hint="eastAsia" w:ascii="宋体" w:hAnsi="宋体" w:eastAsia="宋体" w:cs="宋体"/>
          <w:b w:val="0"/>
          <w:bCs w:val="0"/>
          <w:color w:val="auto"/>
          <w:sz w:val="24"/>
          <w:szCs w:val="24"/>
        </w:rPr>
        <w:t xml:space="preserve">将不予退</w:t>
      </w:r>
      <w:r>
        <w:rPr>
          <w:rFonts w:hint="eastAsia" w:ascii="宋体" w:hAnsi="宋体" w:cs="宋体"/>
          <w:b w:val="0"/>
          <w:bCs w:val="0"/>
          <w:color w:val="auto"/>
          <w:sz w:val="24"/>
          <w:szCs w:val="24"/>
        </w:rPr>
        <w:t xml:space="preserve">还，招标人有权终止合同。</w:t>
      </w:r>
      <w:r/>
    </w:p>
    <w:p>
      <w:pPr>
        <w:rPr>
          <w:rFonts w:hint="eastAsia" w:ascii="宋体" w:hAnsi="宋体" w:cs="宋体"/>
          <w:b/>
          <w:bCs/>
          <w:color w:val="auto"/>
          <w:sz w:val="36"/>
          <w:szCs w:val="36"/>
        </w:rPr>
      </w:pPr>
      <w:r>
        <w:rPr>
          <w:rFonts w:hint="eastAsia" w:ascii="宋体" w:hAnsi="宋体" w:cs="宋体"/>
          <w:b/>
          <w:bCs/>
          <w:color w:val="auto"/>
          <w:sz w:val="36"/>
          <w:szCs w:val="36"/>
        </w:rPr>
        <w:br w:type="page" w:clear="all"/>
      </w:r>
      <w:bookmarkEnd w:id="9"/>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bookmarkStart w:id="10" w:name="_Toc9610_WPSOffice_Level1"/>
      <w:r>
        <w:rPr>
          <w:rFonts w:hint="eastAsia" w:ascii="宋体" w:hAnsi="宋体" w:eastAsia="宋体" w:cs="宋体"/>
          <w:b/>
          <w:color w:val="auto"/>
          <w:sz w:val="36"/>
          <w:szCs w:val="36"/>
        </w:rPr>
        <w:t xml:space="preserve">第四章 合同格式及条款</w:t>
      </w:r>
      <w:r/>
    </w:p>
    <w:p>
      <w:pPr>
        <w:pStyle w:val="817"/>
        <w:ind w:left="177"/>
        <w:keepLines w:val="0"/>
        <w:keepNext w:val="0"/>
        <w:pageBreakBefore w:val="0"/>
        <w:spacing w:before="145" w:line="240" w:lineRule="auto"/>
        <w:widowControl w:val="off"/>
        <w:rPr>
          <w:rFonts w:hint="eastAsia" w:ascii="宋体" w:hAnsi="宋体" w:eastAsia="宋体" w:cs="宋体"/>
          <w:sz w:val="24"/>
          <w:szCs w:val="24"/>
        </w:rPr>
      </w:pPr>
      <w:r>
        <w:rPr>
          <w:rFonts w:hint="eastAsia" w:ascii="宋体" w:hAnsi="宋体" w:eastAsia="宋体" w:cs="宋体"/>
          <w:position w:val="14"/>
          <w:sz w:val="24"/>
          <w:szCs w:val="24"/>
        </w:rPr>
        <w:t xml:space="preserve">注:以下为采购人提出成交后签订本项目合同的条款，供应商必</w:t>
      </w:r>
      <w:r>
        <w:rPr>
          <w:rFonts w:hint="eastAsia" w:ascii="宋体" w:hAnsi="宋体" w:eastAsia="宋体" w:cs="宋体"/>
          <w:spacing w:val="-1"/>
          <w:position w:val="14"/>
          <w:sz w:val="24"/>
          <w:szCs w:val="24"/>
        </w:rPr>
        <w:t xml:space="preserve">须实质性响应，成交供应</w:t>
      </w:r>
      <w:r/>
    </w:p>
    <w:p>
      <w:pPr>
        <w:pStyle w:val="817"/>
        <w:ind w:left="182"/>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商不得提出实质性的修改，关于专用条款将由采购人</w:t>
      </w:r>
      <w:r>
        <w:rPr>
          <w:rFonts w:hint="eastAsia" w:ascii="宋体" w:hAnsi="宋体" w:eastAsia="宋体" w:cs="宋体"/>
          <w:spacing w:val="-1"/>
          <w:sz w:val="24"/>
          <w:szCs w:val="24"/>
        </w:rPr>
        <w:t xml:space="preserve">与成交供应商结合本项目具体情况协</w:t>
      </w:r>
      <w:r/>
    </w:p>
    <w:p>
      <w:pPr>
        <w:pStyle w:val="817"/>
        <w:ind w:left="182"/>
        <w:keepLines w:val="0"/>
        <w:keepNext w:val="0"/>
        <w:pageBreakBefore w:val="0"/>
        <w:spacing w:before="156"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商后签订。</w:t>
      </w:r>
      <w:r/>
    </w:p>
    <w:p>
      <w:pPr>
        <w:pStyle w:val="817"/>
        <w:ind w:left="4009"/>
        <w:keepLines w:val="0"/>
        <w:keepNext w:val="0"/>
        <w:pageBreakBefore w:val="0"/>
        <w:spacing w:before="55" w:line="240" w:lineRule="auto"/>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合同条款前附表</w:t>
      </w:r>
      <w:r/>
    </w:p>
    <w:tbl>
      <w:tblPr>
        <w:tblStyle w:val="1136"/>
        <w:tblW w:w="9560" w:type="dxa"/>
        <w:tblInd w:w="16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34"/>
        <w:gridCol w:w="8426"/>
      </w:tblGrid>
      <w:tr>
        <w:trPr>
          <w:trHeight w:val="424"/>
        </w:trPr>
        <w:tc>
          <w:tcPr>
            <w:tcW w:w="1134" w:type="dxa"/>
            <w:textDirection w:val="lrTb"/>
            <w:noWrap w:val="false"/>
          </w:tcPr>
          <w:p>
            <w:pPr>
              <w:pStyle w:val="1135"/>
              <w:ind w:left="117"/>
              <w:keepLines w:val="0"/>
              <w:keepNext w:val="0"/>
              <w:pageBreakBefore w:val="0"/>
              <w:spacing w:before="72" w:line="240" w:lineRule="auto"/>
              <w:widowControl w:val="off"/>
              <w:rPr>
                <w:rFonts w:hint="eastAsia" w:ascii="宋体" w:hAnsi="宋体" w:eastAsia="宋体" w:cs="宋体"/>
                <w:sz w:val="24"/>
                <w:szCs w:val="24"/>
              </w:rPr>
            </w:pPr>
            <w:r>
              <w:rPr>
                <w:rFonts w:hint="eastAsia" w:ascii="宋体" w:hAnsi="宋体" w:eastAsia="宋体" w:cs="宋体"/>
                <w:spacing w:val="-5"/>
                <w:sz w:val="24"/>
                <w:szCs w:val="24"/>
              </w:rPr>
              <w:t xml:space="preserve">序</w:t>
            </w:r>
            <w:r>
              <w:rPr>
                <w:rFonts w:hint="eastAsia" w:ascii="宋体" w:hAnsi="宋体" w:eastAsia="宋体" w:cs="宋体"/>
                <w:spacing w:val="15"/>
                <w:sz w:val="24"/>
                <w:szCs w:val="24"/>
              </w:rPr>
              <w:t xml:space="preserve"> </w:t>
            </w:r>
            <w:r>
              <w:rPr>
                <w:rFonts w:hint="eastAsia" w:ascii="宋体" w:hAnsi="宋体" w:eastAsia="宋体" w:cs="宋体"/>
                <w:spacing w:val="-5"/>
                <w:sz w:val="24"/>
                <w:szCs w:val="24"/>
              </w:rPr>
              <w:t xml:space="preserve">号</w:t>
            </w:r>
            <w:r/>
          </w:p>
        </w:tc>
        <w:tc>
          <w:tcPr>
            <w:tcW w:w="8426" w:type="dxa"/>
            <w:textDirection w:val="lrTb"/>
            <w:noWrap w:val="false"/>
          </w:tcPr>
          <w:p>
            <w:pPr>
              <w:pStyle w:val="1135"/>
              <w:ind w:left="2927"/>
              <w:keepLines w:val="0"/>
              <w:keepNext w:val="0"/>
              <w:pageBreakBefore w:val="0"/>
              <w:spacing w:before="72" w:line="240" w:lineRule="auto"/>
              <w:widowControl w:val="off"/>
              <w:rPr>
                <w:rFonts w:hint="eastAsia" w:ascii="宋体" w:hAnsi="宋体" w:eastAsia="宋体" w:cs="宋体"/>
                <w:sz w:val="24"/>
                <w:szCs w:val="24"/>
              </w:rPr>
            </w:pPr>
            <w:r>
              <w:rPr>
                <w:rFonts w:hint="eastAsia" w:ascii="宋体" w:hAnsi="宋体" w:eastAsia="宋体" w:cs="宋体"/>
                <w:spacing w:val="-20"/>
                <w:sz w:val="24"/>
                <w:szCs w:val="24"/>
              </w:rPr>
              <w:t xml:space="preserve">内</w:t>
            </w:r>
            <w:r>
              <w:rPr>
                <w:rFonts w:hint="eastAsia" w:ascii="宋体" w:hAnsi="宋体" w:eastAsia="宋体" w:cs="宋体"/>
                <w:sz w:val="24"/>
                <w:szCs w:val="24"/>
              </w:rPr>
              <w:t xml:space="preserve">       </w:t>
            </w:r>
            <w:r>
              <w:rPr>
                <w:rFonts w:hint="eastAsia" w:ascii="宋体" w:hAnsi="宋体" w:eastAsia="宋体" w:cs="宋体"/>
                <w:spacing w:val="-20"/>
                <w:sz w:val="24"/>
                <w:szCs w:val="24"/>
              </w:rPr>
              <w:t xml:space="preserve">容</w:t>
            </w:r>
            <w:r/>
          </w:p>
        </w:tc>
      </w:tr>
      <w:tr>
        <w:trPr>
          <w:trHeight w:val="719"/>
        </w:trPr>
        <w:tc>
          <w:tcPr>
            <w:tcW w:w="1134" w:type="dxa"/>
            <w:textDirection w:val="lrTb"/>
            <w:noWrap w:val="false"/>
          </w:tcPr>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135"/>
              <w:ind w:left="531"/>
              <w:keepLines w:val="0"/>
              <w:keepNext w:val="0"/>
              <w:pageBreakBefore w:val="0"/>
              <w:spacing w:before="78"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8426" w:type="dxa"/>
            <w:textDirection w:val="lrTb"/>
            <w:noWrap w:val="false"/>
          </w:tcPr>
          <w:p>
            <w:pPr>
              <w:keepLines w:val="0"/>
              <w:keepNext w:val="0"/>
              <w:pageBreakBefore w:val="0"/>
              <w:spacing w:line="240" w:lineRule="auto"/>
              <w:widowControl w:val="off"/>
              <w:tabs>
                <w:tab w:val="left" w:pos="567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付款均应按下列条件进行：</w:t>
            </w:r>
            <w:r/>
          </w:p>
          <w:p>
            <w:pPr>
              <w:pStyle w:val="1135"/>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b w:val="0"/>
                <w:bCs w:val="0"/>
                <w:sz w:val="24"/>
                <w:szCs w:val="24"/>
                <w:highlight w:val="none"/>
                <w:lang w:eastAsia="zh-CN"/>
              </w:rPr>
              <w:t xml:space="preserve">合同签订后预付合同总额的40%</w:t>
            </w:r>
            <w:r>
              <w:rPr>
                <w:rFonts w:hint="eastAsia"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所有设备供货安装调试结束，验收合格后</w:t>
            </w:r>
            <w:r>
              <w:rPr>
                <w:rFonts w:hint="eastAsia" w:cs="宋体"/>
                <w:b w:val="0"/>
                <w:bCs w:val="0"/>
                <w:sz w:val="24"/>
                <w:szCs w:val="24"/>
                <w:highlight w:val="none"/>
                <w:lang w:val="en-US" w:eastAsia="zh-CN"/>
              </w:rPr>
              <w:t xml:space="preserve">按</w:t>
            </w:r>
            <w:r>
              <w:rPr>
                <w:rFonts w:hint="eastAsia" w:ascii="宋体" w:hAnsi="宋体" w:eastAsia="宋体" w:cs="宋体"/>
                <w:b w:val="0"/>
                <w:bCs w:val="0"/>
                <w:sz w:val="24"/>
                <w:szCs w:val="24"/>
                <w:highlight w:val="none"/>
                <w:lang w:eastAsia="zh-CN"/>
              </w:rPr>
              <w:t xml:space="preserve">审计结算价款</w:t>
            </w:r>
            <w:r>
              <w:rPr>
                <w:rFonts w:hint="eastAsia" w:cs="宋体"/>
                <w:b w:val="0"/>
                <w:bCs w:val="0"/>
                <w:sz w:val="24"/>
                <w:szCs w:val="24"/>
                <w:highlight w:val="none"/>
                <w:lang w:eastAsia="zh-CN"/>
              </w:rPr>
              <w:t xml:space="preserve">付清</w:t>
            </w:r>
            <w:r>
              <w:rPr>
                <w:rFonts w:hint="eastAsia" w:ascii="宋体" w:hAnsi="宋体" w:eastAsia="宋体" w:cs="宋体"/>
                <w:b w:val="0"/>
                <w:bCs w:val="0"/>
                <w:sz w:val="24"/>
                <w:szCs w:val="24"/>
                <w:highlight w:val="none"/>
                <w:lang w:eastAsia="zh-CN"/>
              </w:rPr>
              <w:t xml:space="preserve">（不含利息）</w:t>
            </w:r>
            <w:r>
              <w:rPr>
                <w:rFonts w:hint="eastAsia" w:ascii="宋体" w:hAnsi="宋体" w:eastAsia="宋体" w:cs="宋体"/>
                <w:b w:val="0"/>
                <w:bCs w:val="0"/>
                <w:sz w:val="24"/>
                <w:szCs w:val="24"/>
                <w:highlight w:val="none"/>
              </w:rPr>
              <w:t xml:space="preserve">（甲方支付款项前，乙方须按甲方要求出具等额的真实发票）。</w:t>
            </w:r>
            <w:r/>
          </w:p>
        </w:tc>
      </w:tr>
      <w:tr>
        <w:trPr>
          <w:trHeight w:val="471"/>
        </w:trPr>
        <w:tc>
          <w:tcPr>
            <w:tcW w:w="1134" w:type="dxa"/>
            <w:textDirection w:val="lrTb"/>
            <w:noWrap w:val="false"/>
          </w:tcPr>
          <w:p>
            <w:pPr>
              <w:pStyle w:val="1135"/>
              <w:ind w:left="517"/>
              <w:keepLines w:val="0"/>
              <w:keepNext w:val="0"/>
              <w:pageBreakBefore w:val="0"/>
              <w:spacing w:before="78"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8426" w:type="dxa"/>
            <w:textDirection w:val="lrTb"/>
            <w:noWrap w:val="false"/>
          </w:tcPr>
          <w:p>
            <w:pPr>
              <w:pStyle w:val="1135"/>
              <w:ind w:left="113"/>
              <w:keepLines w:val="0"/>
              <w:keepNext w:val="0"/>
              <w:pageBreakBefore w:val="0"/>
              <w:spacing w:before="151"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合同履行期限：</w:t>
            </w:r>
            <w:r>
              <w:rPr>
                <w:rFonts w:hint="eastAsia" w:ascii="宋体" w:hAnsi="宋体" w:eastAsia="宋体" w:cs="宋体"/>
                <w:sz w:val="24"/>
                <w:szCs w:val="24"/>
                <w:highlight w:val="none"/>
                <w:lang w:eastAsia="zh-CN"/>
              </w:rPr>
              <w:t xml:space="preserve">暂定90日历天（具体以招标人通知时间为准）</w:t>
            </w:r>
            <w:r/>
          </w:p>
        </w:tc>
      </w:tr>
      <w:tr>
        <w:trPr>
          <w:trHeight w:val="476"/>
        </w:trPr>
        <w:tc>
          <w:tcPr>
            <w:tcW w:w="1134" w:type="dxa"/>
            <w:textDirection w:val="lrTb"/>
            <w:noWrap w:val="false"/>
          </w:tcPr>
          <w:p>
            <w:pPr>
              <w:pStyle w:val="1135"/>
              <w:ind w:left="518"/>
              <w:keepLines w:val="0"/>
              <w:keepNext w:val="0"/>
              <w:pageBreakBefore w:val="0"/>
              <w:spacing w:before="79"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8426" w:type="dxa"/>
            <w:textDirection w:val="lrTb"/>
            <w:noWrap w:val="false"/>
          </w:tcPr>
          <w:p>
            <w:pPr>
              <w:pStyle w:val="1135"/>
              <w:ind w:left="116"/>
              <w:keepLines w:val="0"/>
              <w:keepNext w:val="0"/>
              <w:pageBreakBefore w:val="0"/>
              <w:spacing w:before="152"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项目实施地点：由采购人指定。</w:t>
            </w:r>
            <w:r/>
          </w:p>
        </w:tc>
      </w:tr>
    </w:tbl>
    <w:p>
      <w:pPr>
        <w:pStyle w:val="817"/>
        <w:ind w:left="4584"/>
        <w:keepLines w:val="0"/>
        <w:keepNext w:val="0"/>
        <w:pageBreakBefore w:val="0"/>
        <w:spacing w:before="114" w:line="240" w:lineRule="auto"/>
        <w:widowControl w:val="off"/>
        <w:rPr>
          <w:rFonts w:hint="eastAsia" w:ascii="宋体" w:hAnsi="宋体" w:eastAsia="宋体" w:cs="宋体"/>
          <w:b/>
          <w:bCs/>
          <w:sz w:val="24"/>
          <w:szCs w:val="24"/>
        </w:rPr>
      </w:pPr>
      <w:r>
        <w:rPr>
          <w:rFonts w:hint="eastAsia" w:ascii="宋体" w:hAnsi="宋体" w:eastAsia="宋体" w:cs="宋体"/>
          <w:b/>
          <w:bCs/>
          <w:spacing w:val="-3"/>
          <w:sz w:val="24"/>
          <w:szCs w:val="24"/>
        </w:rPr>
        <w:t xml:space="preserve">合同</w:t>
      </w:r>
      <w:r>
        <w:rPr>
          <w:rFonts w:hint="eastAsia" w:ascii="宋体" w:hAnsi="宋体" w:eastAsia="宋体" w:cs="宋体"/>
          <w:b/>
          <w:bCs/>
          <w:spacing w:val="-3"/>
          <w:sz w:val="24"/>
          <w:szCs w:val="24"/>
          <w:lang w:eastAsia="zh-CN"/>
        </w:rPr>
        <w:t xml:space="preserve">通用</w:t>
      </w:r>
      <w:r>
        <w:rPr>
          <w:rFonts w:hint="eastAsia" w:ascii="宋体" w:hAnsi="宋体" w:eastAsia="宋体" w:cs="宋体"/>
          <w:b/>
          <w:bCs/>
          <w:spacing w:val="-3"/>
          <w:sz w:val="24"/>
          <w:szCs w:val="24"/>
        </w:rPr>
        <w:t xml:space="preserve">条款</w:t>
      </w:r>
      <w:r/>
    </w:p>
    <w:p>
      <w:pPr>
        <w:pStyle w:val="817"/>
        <w:keepLines w:val="0"/>
        <w:keepNext w:val="0"/>
        <w:pageBreakBefore w:val="0"/>
        <w:spacing w:before="112" w:line="240" w:lineRule="auto"/>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1.定义</w:t>
      </w:r>
      <w:r/>
    </w:p>
    <w:p>
      <w:pPr>
        <w:pStyle w:val="817"/>
        <w:ind w:firstLine="48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本合同中下列术语应解释为:</w:t>
      </w:r>
      <w:r/>
    </w:p>
    <w:p>
      <w:pPr>
        <w:pStyle w:val="817"/>
        <w:ind w:left="177" w:right="218" w:firstLine="371"/>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（1）“合同</w:t>
      </w:r>
      <w:r>
        <w:rPr>
          <w:rFonts w:hint="eastAsia" w:ascii="宋体" w:hAnsi="宋体" w:eastAsia="宋体" w:cs="宋体"/>
          <w:spacing w:val="-88"/>
          <w:sz w:val="24"/>
          <w:szCs w:val="24"/>
        </w:rPr>
        <w:t xml:space="preserve"> </w:t>
      </w:r>
      <w:r>
        <w:rPr>
          <w:rFonts w:hint="eastAsia" w:ascii="宋体" w:hAnsi="宋体" w:eastAsia="宋体" w:cs="宋体"/>
          <w:spacing w:val="-1"/>
          <w:sz w:val="24"/>
          <w:szCs w:val="24"/>
        </w:rPr>
        <w:t xml:space="preserve">”系指甲方和乙方（以下简称合同双</w:t>
      </w:r>
      <w:r>
        <w:rPr>
          <w:rFonts w:hint="eastAsia" w:ascii="宋体" w:hAnsi="宋体" w:eastAsia="宋体" w:cs="宋体"/>
          <w:spacing w:val="-2"/>
          <w:sz w:val="24"/>
          <w:szCs w:val="24"/>
        </w:rPr>
        <w:t xml:space="preserve">方）签署的、合同格式中列明的合同</w:t>
      </w:r>
      <w:r>
        <w:rPr>
          <w:rFonts w:hint="eastAsia" w:ascii="宋体" w:hAnsi="宋体" w:eastAsia="宋体" w:cs="宋体"/>
          <w:sz w:val="24"/>
          <w:szCs w:val="24"/>
        </w:rPr>
        <w:t xml:space="preserve"> 双方所达成的协议，包括所有的附件、附录</w:t>
      </w:r>
      <w:r>
        <w:rPr>
          <w:rFonts w:hint="eastAsia" w:ascii="宋体" w:hAnsi="宋体" w:eastAsia="宋体" w:cs="宋体"/>
          <w:spacing w:val="-1"/>
          <w:sz w:val="24"/>
          <w:szCs w:val="24"/>
        </w:rPr>
        <w:t xml:space="preserve">和构成合同的所有文件。</w:t>
      </w:r>
      <w:r/>
    </w:p>
    <w:p>
      <w:pPr>
        <w:pStyle w:val="817"/>
        <w:ind w:left="548"/>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（2）“合同价</w:t>
      </w:r>
      <w:r>
        <w:rPr>
          <w:rFonts w:hint="eastAsia" w:ascii="宋体" w:hAnsi="宋体" w:eastAsia="宋体" w:cs="宋体"/>
          <w:spacing w:val="-88"/>
          <w:position w:val="11"/>
          <w:sz w:val="24"/>
          <w:szCs w:val="24"/>
        </w:rPr>
        <w:t xml:space="preserve"> </w:t>
      </w:r>
      <w:r>
        <w:rPr>
          <w:rFonts w:hint="eastAsia" w:ascii="宋体" w:hAnsi="宋体" w:eastAsia="宋体" w:cs="宋体"/>
          <w:spacing w:val="-1"/>
          <w:position w:val="11"/>
          <w:sz w:val="24"/>
          <w:szCs w:val="24"/>
        </w:rPr>
        <w:t xml:space="preserve">”系指根据合同规定，乙方在完全</w:t>
      </w:r>
      <w:r>
        <w:rPr>
          <w:rFonts w:hint="eastAsia" w:ascii="宋体" w:hAnsi="宋体" w:eastAsia="宋体" w:cs="宋体"/>
          <w:spacing w:val="-2"/>
          <w:position w:val="11"/>
          <w:sz w:val="24"/>
          <w:szCs w:val="24"/>
        </w:rPr>
        <w:t xml:space="preserve">履行合同义务后甲方应支付给乙方的</w:t>
      </w:r>
      <w:r/>
    </w:p>
    <w:p>
      <w:pPr>
        <w:pStyle w:val="817"/>
        <w:ind w:left="178"/>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价格。</w:t>
      </w:r>
      <w:r/>
    </w:p>
    <w:p>
      <w:pPr>
        <w:pStyle w:val="817"/>
        <w:ind w:left="177" w:right="218" w:firstLine="371"/>
        <w:keepLines w:val="0"/>
        <w:keepNext w:val="0"/>
        <w:pageBreakBefore w:val="0"/>
        <w:spacing w:before="115" w:line="24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（3）“货物（含软件及相关服务） ”系指乙方按合同要求，须向甲方提供的一切设备、机械、仪表、备件、工具、技术及手册等有关材料。</w:t>
      </w:r>
      <w:r/>
    </w:p>
    <w:p>
      <w:pPr>
        <w:pStyle w:val="817"/>
        <w:ind w:left="204" w:right="218" w:firstLine="344"/>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（4）“服务</w:t>
      </w:r>
      <w:r>
        <w:rPr>
          <w:rFonts w:hint="eastAsia" w:ascii="宋体" w:hAnsi="宋体" w:eastAsia="宋体" w:cs="宋体"/>
          <w:spacing w:val="-88"/>
          <w:sz w:val="24"/>
          <w:szCs w:val="24"/>
        </w:rPr>
        <w:t xml:space="preserve"> </w:t>
      </w:r>
      <w:r>
        <w:rPr>
          <w:rFonts w:hint="eastAsia" w:ascii="宋体" w:hAnsi="宋体" w:eastAsia="宋体" w:cs="宋体"/>
          <w:spacing w:val="-1"/>
          <w:sz w:val="24"/>
          <w:szCs w:val="24"/>
        </w:rPr>
        <w:t xml:space="preserve">”系指根据合同规定乙方承担与供货</w:t>
      </w:r>
      <w:r>
        <w:rPr>
          <w:rFonts w:hint="eastAsia" w:ascii="宋体" w:hAnsi="宋体" w:eastAsia="宋体" w:cs="宋体"/>
          <w:spacing w:val="-2"/>
          <w:sz w:val="24"/>
          <w:szCs w:val="24"/>
        </w:rPr>
        <w:t xml:space="preserve">有关的所有辅助服务，如运输、保险</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以及</w:t>
      </w:r>
      <w:r>
        <w:rPr>
          <w:rFonts w:hint="eastAsia" w:ascii="宋体" w:hAnsi="宋体" w:eastAsia="宋体" w:cs="宋体"/>
          <w:spacing w:val="-1"/>
          <w:sz w:val="24"/>
          <w:szCs w:val="24"/>
          <w:lang w:eastAsia="zh-CN"/>
        </w:rPr>
        <w:t xml:space="preserve">其他</w:t>
      </w:r>
      <w:r>
        <w:rPr>
          <w:rFonts w:hint="eastAsia" w:ascii="宋体" w:hAnsi="宋体" w:eastAsia="宋体" w:cs="宋体"/>
          <w:spacing w:val="-1"/>
          <w:sz w:val="24"/>
          <w:szCs w:val="24"/>
        </w:rPr>
        <w:t xml:space="preserve">的服务，如安装、调试、提供技术援助、培训和其他类</w:t>
      </w:r>
      <w:r>
        <w:rPr>
          <w:rFonts w:hint="eastAsia" w:ascii="宋体" w:hAnsi="宋体" w:eastAsia="宋体" w:cs="宋体"/>
          <w:spacing w:val="-2"/>
          <w:sz w:val="24"/>
          <w:szCs w:val="24"/>
        </w:rPr>
        <w:t xml:space="preserve">似的义务。</w:t>
      </w:r>
      <w:r/>
    </w:p>
    <w:p>
      <w:pPr>
        <w:pStyle w:val="817"/>
        <w:ind w:left="548"/>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5"/>
          <w:sz w:val="24"/>
          <w:szCs w:val="24"/>
        </w:rPr>
        <w:t xml:space="preserve">（5）“</w:t>
      </w:r>
      <w:r>
        <w:rPr>
          <w:rFonts w:hint="eastAsia" w:ascii="宋体" w:hAnsi="宋体" w:eastAsia="宋体" w:cs="宋体"/>
          <w:spacing w:val="-69"/>
          <w:sz w:val="24"/>
          <w:szCs w:val="24"/>
        </w:rPr>
        <w:t xml:space="preserve"> </w:t>
      </w:r>
      <w:r>
        <w:rPr>
          <w:rFonts w:hint="eastAsia" w:ascii="宋体" w:hAnsi="宋体" w:eastAsia="宋体" w:cs="宋体"/>
          <w:spacing w:val="-5"/>
          <w:sz w:val="24"/>
          <w:szCs w:val="24"/>
        </w:rPr>
        <w:t xml:space="preserve">甲方</w:t>
      </w:r>
      <w:r>
        <w:rPr>
          <w:rFonts w:hint="eastAsia" w:ascii="宋体" w:hAnsi="宋体" w:eastAsia="宋体" w:cs="宋体"/>
          <w:spacing w:val="-88"/>
          <w:sz w:val="24"/>
          <w:szCs w:val="24"/>
        </w:rPr>
        <w:t xml:space="preserve"> </w:t>
      </w:r>
      <w:r>
        <w:rPr>
          <w:rFonts w:hint="eastAsia" w:ascii="宋体" w:hAnsi="宋体" w:eastAsia="宋体" w:cs="宋体"/>
          <w:spacing w:val="-5"/>
          <w:sz w:val="24"/>
          <w:szCs w:val="24"/>
        </w:rPr>
        <w:t xml:space="preserve">”系指</w:t>
      </w:r>
      <w:r>
        <w:rPr>
          <w:rFonts w:hint="eastAsia" w:ascii="宋体" w:hAnsi="宋体" w:eastAsia="宋体" w:cs="宋体"/>
          <w:spacing w:val="-5"/>
          <w:sz w:val="24"/>
          <w:szCs w:val="24"/>
          <w:lang w:eastAsia="zh-CN"/>
        </w:rPr>
        <w:t xml:space="preserve">金湖县住房和城乡建设局</w:t>
      </w:r>
      <w:r>
        <w:rPr>
          <w:rFonts w:hint="eastAsia" w:ascii="宋体" w:hAnsi="宋体" w:eastAsia="宋体" w:cs="宋体"/>
          <w:spacing w:val="-5"/>
          <w:sz w:val="24"/>
          <w:szCs w:val="24"/>
        </w:rPr>
        <w:t xml:space="preserve">。</w:t>
      </w:r>
      <w:r/>
    </w:p>
    <w:p>
      <w:pPr>
        <w:pStyle w:val="817"/>
        <w:ind w:left="54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8"/>
          <w:position w:val="11"/>
          <w:sz w:val="24"/>
          <w:szCs w:val="24"/>
        </w:rPr>
        <w:t xml:space="preserve">（6）“</w:t>
      </w:r>
      <w:r>
        <w:rPr>
          <w:rFonts w:hint="eastAsia" w:ascii="宋体" w:hAnsi="宋体" w:eastAsia="宋体" w:cs="宋体"/>
          <w:spacing w:val="-86"/>
          <w:position w:val="11"/>
          <w:sz w:val="24"/>
          <w:szCs w:val="24"/>
        </w:rPr>
        <w:t xml:space="preserve"> </w:t>
      </w:r>
      <w:r>
        <w:rPr>
          <w:rFonts w:hint="eastAsia" w:ascii="宋体" w:hAnsi="宋体" w:eastAsia="宋体" w:cs="宋体"/>
          <w:spacing w:val="-8"/>
          <w:position w:val="11"/>
          <w:sz w:val="24"/>
          <w:szCs w:val="24"/>
        </w:rPr>
        <w:t xml:space="preserve">乙方</w:t>
      </w:r>
      <w:r>
        <w:rPr>
          <w:rFonts w:hint="eastAsia" w:ascii="宋体" w:hAnsi="宋体" w:eastAsia="宋体" w:cs="宋体"/>
          <w:spacing w:val="-88"/>
          <w:position w:val="11"/>
          <w:sz w:val="24"/>
          <w:szCs w:val="24"/>
        </w:rPr>
        <w:t xml:space="preserve"> </w:t>
      </w:r>
      <w:r>
        <w:rPr>
          <w:rFonts w:hint="eastAsia" w:ascii="宋体" w:hAnsi="宋体" w:eastAsia="宋体" w:cs="宋体"/>
          <w:spacing w:val="-8"/>
          <w:position w:val="11"/>
          <w:sz w:val="24"/>
          <w:szCs w:val="24"/>
        </w:rPr>
        <w:t xml:space="preserve">”系指提供货物和服务的供应商。</w:t>
      </w:r>
      <w:r/>
    </w:p>
    <w:p>
      <w:pPr>
        <w:pStyle w:val="817"/>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2.技术规范</w:t>
      </w:r>
      <w:r/>
    </w:p>
    <w:p>
      <w:pPr>
        <w:pStyle w:val="817"/>
        <w:ind w:right="218" w:firstLine="476"/>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2.1提交货物（含软件及相关服务）的技术规范应与</w:t>
      </w:r>
      <w:r>
        <w:rPr>
          <w:rFonts w:hint="eastAsia" w:ascii="宋体" w:hAnsi="宋体" w:eastAsia="宋体" w:cs="宋体"/>
          <w:spacing w:val="-2"/>
          <w:sz w:val="24"/>
          <w:szCs w:val="24"/>
        </w:rPr>
        <w:t xml:space="preserve">招标文件的技术规范和技术规</w:t>
      </w:r>
      <w:r>
        <w:rPr>
          <w:rFonts w:hint="eastAsia" w:ascii="宋体" w:hAnsi="宋体" w:eastAsia="宋体" w:cs="宋体"/>
          <w:sz w:val="24"/>
          <w:szCs w:val="24"/>
        </w:rPr>
        <w:t xml:space="preserve">范附件（如果有的话）及投标文件的规格响应表（如果被甲方</w:t>
      </w:r>
      <w:r>
        <w:rPr>
          <w:rFonts w:hint="eastAsia" w:ascii="宋体" w:hAnsi="宋体" w:eastAsia="宋体" w:cs="宋体"/>
          <w:spacing w:val="-1"/>
          <w:sz w:val="24"/>
          <w:szCs w:val="24"/>
        </w:rPr>
        <w:t xml:space="preserve">接受的话）相一致。若技术</w:t>
      </w:r>
      <w:r>
        <w:rPr>
          <w:rFonts w:hint="eastAsia" w:ascii="宋体" w:hAnsi="宋体" w:eastAsia="宋体" w:cs="宋体"/>
          <w:sz w:val="24"/>
          <w:szCs w:val="24"/>
        </w:rPr>
        <w:t xml:space="preserve">规范中无相应说明，则以国家有关部门最新颁</w:t>
      </w:r>
      <w:r>
        <w:rPr>
          <w:rFonts w:hint="eastAsia" w:ascii="宋体" w:hAnsi="宋体" w:eastAsia="宋体" w:cs="宋体"/>
          <w:spacing w:val="-1"/>
          <w:sz w:val="24"/>
          <w:szCs w:val="24"/>
        </w:rPr>
        <w:t xml:space="preserve">布的相应标准及规范为准。</w:t>
      </w:r>
      <w:r/>
    </w:p>
    <w:p>
      <w:pPr>
        <w:pStyle w:val="817"/>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3.专利权</w:t>
      </w:r>
      <w:r/>
    </w:p>
    <w:p>
      <w:pPr>
        <w:pStyle w:val="817"/>
        <w:ind w:right="218" w:firstLine="476"/>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3.1乙方须保障甲方在使用该货物（含软件及相</w:t>
      </w:r>
      <w:r>
        <w:rPr>
          <w:rFonts w:hint="eastAsia" w:ascii="宋体" w:hAnsi="宋体" w:eastAsia="宋体" w:cs="宋体"/>
          <w:spacing w:val="-2"/>
          <w:sz w:val="24"/>
          <w:szCs w:val="24"/>
        </w:rPr>
        <w:t xml:space="preserve">关服务）或其任何一部分时不受到</w:t>
      </w:r>
      <w:r>
        <w:rPr>
          <w:rFonts w:hint="eastAsia" w:ascii="宋体" w:hAnsi="宋体" w:eastAsia="宋体" w:cs="宋体"/>
          <w:sz w:val="24"/>
          <w:szCs w:val="24"/>
        </w:rPr>
        <w:t xml:space="preserve">第三方关于侵犯专利权、商标权、版权、专有技术等权利的指控</w:t>
      </w:r>
      <w:r>
        <w:rPr>
          <w:rFonts w:hint="eastAsia" w:ascii="宋体" w:hAnsi="宋体" w:eastAsia="宋体" w:cs="宋体"/>
          <w:spacing w:val="-1"/>
          <w:sz w:val="24"/>
          <w:szCs w:val="24"/>
        </w:rPr>
        <w:t xml:space="preserve">。如果任何第三方提出侵</w:t>
      </w:r>
      <w:r>
        <w:rPr>
          <w:rFonts w:hint="eastAsia" w:ascii="宋体" w:hAnsi="宋体" w:eastAsia="宋体" w:cs="宋体"/>
          <w:sz w:val="24"/>
          <w:szCs w:val="24"/>
        </w:rPr>
        <w:t xml:space="preserve">权指控，乙方须与第三方交涉并承担可能发</w:t>
      </w:r>
      <w:r>
        <w:rPr>
          <w:rFonts w:hint="eastAsia" w:ascii="宋体" w:hAnsi="宋体" w:eastAsia="宋体" w:cs="宋体"/>
          <w:spacing w:val="-1"/>
          <w:sz w:val="24"/>
          <w:szCs w:val="24"/>
        </w:rPr>
        <w:t xml:space="preserve">生的一切损失和费用。</w:t>
      </w:r>
      <w:r/>
    </w:p>
    <w:p>
      <w:pPr>
        <w:pStyle w:val="817"/>
        <w:keepLines w:val="0"/>
        <w:keepNext w:val="0"/>
        <w:pageBreakBefore w:val="0"/>
        <w:spacing w:before="114"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4.包装要求</w:t>
      </w:r>
      <w:r/>
    </w:p>
    <w:p>
      <w:pPr>
        <w:keepLines w:val="0"/>
        <w:keepNext w:val="0"/>
        <w:pageBreakBefore w:val="0"/>
        <w:spacing w:line="240" w:lineRule="auto"/>
        <w:widowControl w:val="off"/>
        <w:rPr>
          <w:rFonts w:hint="eastAsia" w:ascii="宋体" w:hAnsi="宋体" w:eastAsia="宋体" w:cs="宋体"/>
          <w:sz w:val="24"/>
          <w:szCs w:val="24"/>
        </w:rPr>
        <w:sectPr>
          <w:footerReference w:type="default" r:id="rId9"/>
          <w:footnotePr/>
          <w:endnotePr/>
          <w:type w:val="nextPage"/>
          <w:pgSz w:w="11911" w:h="16840" w:orient="portrait"/>
          <w:pgMar w:top="1274" w:right="1084" w:bottom="1254" w:left="1080" w:header="890" w:footer="1076" w:gutter="0"/>
          <w:cols w:num="1" w:sep="0" w:space="720" w:equalWidth="1"/>
          <w:docGrid w:linePitch="360"/>
        </w:sectPr>
      </w:pPr>
      <w:r>
        <w:rPr>
          <w:rFonts w:hint="eastAsia" w:ascii="宋体" w:hAnsi="宋体" w:eastAsia="宋体" w:cs="宋体"/>
          <w:sz w:val="24"/>
          <w:szCs w:val="24"/>
        </w:rPr>
      </w:r>
      <w:r/>
    </w:p>
    <w:p>
      <w:pPr>
        <w:pStyle w:val="817"/>
        <w:ind w:right="218" w:firstLine="472"/>
        <w:keepLines w:val="0"/>
        <w:keepNext w:val="0"/>
        <w:pageBreakBefore w:val="0"/>
        <w:spacing w:before="86"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4.1除合同另有规定外，乙方提供的全部货物（含软件及相关服务</w:t>
      </w:r>
      <w:r>
        <w:rPr>
          <w:rFonts w:hint="eastAsia" w:ascii="宋体" w:hAnsi="宋体" w:eastAsia="宋体" w:cs="宋体"/>
          <w:spacing w:val="12"/>
          <w:sz w:val="24"/>
          <w:szCs w:val="24"/>
        </w:rPr>
        <w:t xml:space="preserve">），</w:t>
      </w:r>
      <w:r>
        <w:rPr>
          <w:rFonts w:hint="eastAsia" w:ascii="宋体" w:hAnsi="宋体" w:eastAsia="宋体" w:cs="宋体"/>
          <w:spacing w:val="-2"/>
          <w:sz w:val="24"/>
          <w:szCs w:val="24"/>
        </w:rPr>
        <w:t xml:space="preserve">均应按相应</w:t>
      </w:r>
      <w:r>
        <w:rPr>
          <w:rFonts w:hint="eastAsia" w:ascii="宋体" w:hAnsi="宋体" w:eastAsia="宋体" w:cs="宋体"/>
          <w:sz w:val="24"/>
          <w:szCs w:val="24"/>
        </w:rPr>
        <w:t xml:space="preserve">的标准保护措施进行包装，使包装适应于远距离运输、防潮、防</w:t>
      </w:r>
      <w:r>
        <w:rPr>
          <w:rFonts w:hint="eastAsia" w:ascii="宋体" w:hAnsi="宋体" w:eastAsia="宋体" w:cs="宋体"/>
          <w:spacing w:val="-1"/>
          <w:sz w:val="24"/>
          <w:szCs w:val="24"/>
        </w:rPr>
        <w:t xml:space="preserve">震、防锈和防粗暴装卸，</w:t>
      </w:r>
      <w:r>
        <w:rPr>
          <w:rFonts w:hint="eastAsia" w:ascii="宋体" w:hAnsi="宋体" w:eastAsia="宋体" w:cs="宋体"/>
          <w:sz w:val="24"/>
          <w:szCs w:val="24"/>
        </w:rPr>
        <w:t xml:space="preserve">确保货物（含软件及相关服务）安全无损</w:t>
      </w:r>
      <w:r>
        <w:rPr>
          <w:rFonts w:hint="eastAsia" w:ascii="宋体" w:hAnsi="宋体" w:eastAsia="宋体" w:cs="宋体"/>
          <w:sz w:val="24"/>
          <w:szCs w:val="24"/>
          <w:lang w:eastAsia="zh-CN"/>
        </w:rPr>
        <w:t xml:space="preserve">运送</w:t>
      </w:r>
      <w:r>
        <w:rPr>
          <w:rFonts w:hint="eastAsia" w:ascii="宋体" w:hAnsi="宋体" w:eastAsia="宋体" w:cs="宋体"/>
          <w:sz w:val="24"/>
          <w:szCs w:val="24"/>
        </w:rPr>
        <w:t xml:space="preserve">抵</w:t>
      </w:r>
      <w:r>
        <w:rPr>
          <w:rFonts w:hint="eastAsia" w:ascii="宋体" w:hAnsi="宋体" w:eastAsia="宋体" w:cs="宋体"/>
          <w:sz w:val="24"/>
          <w:szCs w:val="24"/>
          <w:highlight w:val="none"/>
          <w:lang w:eastAsia="zh-CN"/>
        </w:rPr>
        <w:t xml:space="preserve">至</w:t>
      </w:r>
      <w:r>
        <w:rPr>
          <w:rFonts w:hint="eastAsia" w:ascii="宋体" w:hAnsi="宋体" w:eastAsia="宋体" w:cs="宋体"/>
          <w:sz w:val="24"/>
          <w:szCs w:val="24"/>
        </w:rPr>
        <w:t xml:space="preserve">现场。由于包装</w:t>
      </w:r>
      <w:r>
        <w:rPr>
          <w:rFonts w:hint="eastAsia" w:ascii="宋体" w:hAnsi="宋体" w:eastAsia="宋体" w:cs="宋体"/>
          <w:spacing w:val="-1"/>
          <w:sz w:val="24"/>
          <w:szCs w:val="24"/>
        </w:rPr>
        <w:t xml:space="preserve">不善所引起的货物（含软件及相关服务）锈蚀、损坏和损失均由乙方承担。</w:t>
      </w:r>
      <w:r/>
    </w:p>
    <w:p>
      <w:pPr>
        <w:pStyle w:val="817"/>
        <w:ind w:firstLine="476"/>
        <w:keepLines w:val="0"/>
        <w:keepNext w:val="0"/>
        <w:pageBreakBefore w:val="0"/>
        <w:spacing w:before="114"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4.2每件包装箱内应附一份详细装箱单和质量合格证。</w:t>
      </w:r>
      <w:r/>
    </w:p>
    <w:p>
      <w:pPr>
        <w:pStyle w:val="817"/>
        <w:keepLines w:val="0"/>
        <w:keepNext w:val="0"/>
        <w:pageBreakBefore w:val="0"/>
        <w:spacing w:before="1"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5.装运标志</w:t>
      </w:r>
      <w:r/>
    </w:p>
    <w:p>
      <w:pPr>
        <w:pStyle w:val="817"/>
        <w:ind w:right="218" w:firstLine="480"/>
        <w:keepLines w:val="0"/>
        <w:keepNext w:val="0"/>
        <w:pageBreakBefore w:val="0"/>
        <w:spacing w:before="86"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 乙方应在每一包装箱邻接的四侧用不褪色的油漆以醒目的中文字样做出下列标记:</w:t>
      </w:r>
      <w:r/>
    </w:p>
    <w:p>
      <w:pPr>
        <w:pStyle w:val="817"/>
        <w:ind w:left="548"/>
        <w:keepLines w:val="0"/>
        <w:keepNext w:val="0"/>
        <w:pageBreakBefore w:val="0"/>
        <w:spacing w:before="100"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（1）收货人 </w:t>
      </w:r>
      <w:r>
        <w:rPr>
          <w:rFonts w:hint="eastAsia" w:ascii="宋体" w:hAnsi="宋体" w:eastAsia="宋体" w:cs="宋体"/>
          <w:spacing w:val="-1"/>
          <w:position w:val="11"/>
          <w:sz w:val="24"/>
          <w:szCs w:val="24"/>
          <w:lang w:val="en-US" w:eastAsia="zh-CN"/>
        </w:rPr>
        <w:t xml:space="preserve">   </w:t>
      </w:r>
      <w:r>
        <w:rPr>
          <w:rFonts w:hint="eastAsia" w:ascii="宋体" w:hAnsi="宋体" w:eastAsia="宋体" w:cs="宋体"/>
          <w:spacing w:val="-1"/>
          <w:position w:val="11"/>
          <w:sz w:val="24"/>
          <w:szCs w:val="24"/>
        </w:rPr>
        <w:t xml:space="preserve">（2）合同号 </w:t>
      </w:r>
      <w:r>
        <w:rPr>
          <w:rFonts w:hint="eastAsia" w:ascii="宋体" w:hAnsi="宋体" w:eastAsia="宋体" w:cs="宋体"/>
          <w:spacing w:val="-1"/>
          <w:position w:val="11"/>
          <w:sz w:val="24"/>
          <w:szCs w:val="24"/>
          <w:lang w:val="en-US" w:eastAsia="zh-CN"/>
        </w:rPr>
        <w:t xml:space="preserve">  </w:t>
      </w:r>
      <w:r>
        <w:rPr>
          <w:rFonts w:hint="eastAsia" w:ascii="宋体" w:hAnsi="宋体" w:eastAsia="宋体" w:cs="宋体"/>
          <w:spacing w:val="-1"/>
          <w:position w:val="11"/>
          <w:sz w:val="24"/>
          <w:szCs w:val="24"/>
        </w:rPr>
        <w:t xml:space="preserve">（3）装运标志</w:t>
      </w:r>
      <w:r/>
    </w:p>
    <w:p>
      <w:pPr>
        <w:pStyle w:val="817"/>
        <w:ind w:left="548"/>
        <w:keepLines w:val="0"/>
        <w:keepNext w:val="0"/>
        <w:pageBreakBefore w:val="0"/>
        <w:spacing w:before="1"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（4）收货人代号 （5）</w:t>
      </w:r>
      <w:r>
        <w:rPr>
          <w:rFonts w:hint="eastAsia" w:ascii="宋体" w:hAnsi="宋体" w:eastAsia="宋体" w:cs="宋体"/>
          <w:spacing w:val="-52"/>
          <w:sz w:val="24"/>
          <w:szCs w:val="24"/>
        </w:rPr>
        <w:t xml:space="preserve"> </w:t>
      </w:r>
      <w:r>
        <w:rPr>
          <w:rFonts w:hint="eastAsia" w:ascii="宋体" w:hAnsi="宋体" w:eastAsia="宋体" w:cs="宋体"/>
          <w:spacing w:val="-6"/>
          <w:sz w:val="24"/>
          <w:szCs w:val="24"/>
        </w:rPr>
        <w:t xml:space="preserve">目的地</w:t>
      </w:r>
      <w:r/>
    </w:p>
    <w:p>
      <w:pPr>
        <w:pStyle w:val="817"/>
        <w:ind w:left="54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（6）货物（含软件及相关服务）名称、品目号和箱号</w:t>
      </w:r>
      <w:r/>
    </w:p>
    <w:p>
      <w:pPr>
        <w:pStyle w:val="817"/>
        <w:ind w:left="548"/>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（7）毛重／净重 （8）尺寸（长X宽X高，以厘米计）</w:t>
      </w:r>
      <w:r/>
    </w:p>
    <w:p>
      <w:pPr>
        <w:pStyle w:val="817"/>
        <w:ind w:right="218" w:firstLine="480"/>
        <w:jc w:val="both"/>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 如果货物（含软件及相关服务）单件重量</w:t>
      </w:r>
      <w:r>
        <w:rPr>
          <w:rFonts w:hint="eastAsia" w:ascii="宋体" w:hAnsi="宋体" w:eastAsia="宋体" w:cs="宋体"/>
          <w:spacing w:val="-1"/>
          <w:sz w:val="24"/>
          <w:szCs w:val="24"/>
        </w:rPr>
        <w:t xml:space="preserve">在两吨或两吨以上，乙方应在每件包</w:t>
      </w:r>
      <w:r>
        <w:rPr>
          <w:rFonts w:hint="eastAsia" w:ascii="宋体" w:hAnsi="宋体" w:eastAsia="宋体" w:cs="宋体"/>
          <w:spacing w:val="-3"/>
          <w:sz w:val="24"/>
          <w:szCs w:val="24"/>
        </w:rPr>
        <w:t xml:space="preserve">装箱的两侧用中文和适当的运输标志标明“重心</w:t>
      </w:r>
      <w:r>
        <w:rPr>
          <w:rFonts w:hint="eastAsia" w:ascii="宋体" w:hAnsi="宋体" w:eastAsia="宋体" w:cs="宋体"/>
          <w:spacing w:val="-84"/>
          <w:sz w:val="24"/>
          <w:szCs w:val="24"/>
        </w:rPr>
        <w:t xml:space="preserve"> </w:t>
      </w:r>
      <w:r>
        <w:rPr>
          <w:rFonts w:hint="eastAsia" w:ascii="宋体" w:hAnsi="宋体" w:eastAsia="宋体" w:cs="宋体"/>
          <w:spacing w:val="-3"/>
          <w:sz w:val="24"/>
          <w:szCs w:val="24"/>
        </w:rPr>
        <w:t xml:space="preserve">”和“</w:t>
      </w:r>
      <w:r>
        <w:rPr>
          <w:rFonts w:hint="eastAsia" w:ascii="宋体" w:hAnsi="宋体" w:eastAsia="宋体" w:cs="宋体"/>
          <w:spacing w:val="-82"/>
          <w:sz w:val="24"/>
          <w:szCs w:val="24"/>
        </w:rPr>
        <w:t xml:space="preserve"> </w:t>
      </w:r>
      <w:r>
        <w:rPr>
          <w:rFonts w:hint="eastAsia" w:ascii="宋体" w:hAnsi="宋体" w:eastAsia="宋体" w:cs="宋体"/>
          <w:spacing w:val="-3"/>
          <w:sz w:val="24"/>
          <w:szCs w:val="24"/>
        </w:rPr>
        <w:t xml:space="preserve">吊装点</w:t>
      </w:r>
      <w:r>
        <w:rPr>
          <w:rFonts w:hint="eastAsia" w:ascii="宋体" w:hAnsi="宋体" w:eastAsia="宋体" w:cs="宋体"/>
          <w:spacing w:val="-88"/>
          <w:sz w:val="24"/>
          <w:szCs w:val="24"/>
        </w:rPr>
        <w:t xml:space="preserve"> </w:t>
      </w:r>
      <w:r>
        <w:rPr>
          <w:rFonts w:hint="eastAsia" w:ascii="宋体" w:hAnsi="宋体" w:eastAsia="宋体" w:cs="宋体"/>
          <w:spacing w:val="-3"/>
          <w:sz w:val="24"/>
          <w:szCs w:val="24"/>
        </w:rPr>
        <w:t xml:space="preserve">”，以便装卸和搬运。根据</w:t>
      </w:r>
      <w:r>
        <w:rPr>
          <w:rFonts w:hint="eastAsia" w:ascii="宋体" w:hAnsi="宋体" w:eastAsia="宋体" w:cs="宋体"/>
          <w:sz w:val="24"/>
          <w:szCs w:val="24"/>
        </w:rPr>
        <w:t xml:space="preserve">货物（含软件及相关服务）的特点和运输的不同要求，乙方应在</w:t>
      </w:r>
      <w:r>
        <w:rPr>
          <w:rFonts w:hint="eastAsia" w:ascii="宋体" w:hAnsi="宋体" w:eastAsia="宋体" w:cs="宋体"/>
          <w:spacing w:val="-1"/>
          <w:sz w:val="24"/>
          <w:szCs w:val="24"/>
        </w:rPr>
        <w:t xml:space="preserve">包装箱上清楚地标有‘小</w:t>
      </w:r>
      <w:r>
        <w:rPr>
          <w:rFonts w:hint="eastAsia" w:ascii="宋体" w:hAnsi="宋体" w:eastAsia="宋体" w:cs="宋体"/>
          <w:spacing w:val="-4"/>
          <w:sz w:val="24"/>
          <w:szCs w:val="24"/>
        </w:rPr>
        <w:t xml:space="preserve">心轻放</w:t>
      </w:r>
      <w:r>
        <w:rPr>
          <w:rFonts w:hint="eastAsia" w:ascii="宋体" w:hAnsi="宋体" w:eastAsia="宋体" w:cs="宋体"/>
          <w:spacing w:val="-89"/>
          <w:sz w:val="24"/>
          <w:szCs w:val="24"/>
        </w:rPr>
        <w:t xml:space="preserve"> </w:t>
      </w:r>
      <w:r>
        <w:rPr>
          <w:rFonts w:hint="eastAsia" w:ascii="宋体" w:hAnsi="宋体" w:eastAsia="宋体" w:cs="宋体"/>
          <w:spacing w:val="-4"/>
          <w:sz w:val="24"/>
          <w:szCs w:val="24"/>
        </w:rPr>
        <w:t xml:space="preserve">”、“勿倒置</w:t>
      </w:r>
      <w:r>
        <w:rPr>
          <w:rFonts w:hint="eastAsia" w:ascii="宋体" w:hAnsi="宋体" w:eastAsia="宋体" w:cs="宋体"/>
          <w:spacing w:val="-88"/>
          <w:sz w:val="24"/>
          <w:szCs w:val="24"/>
        </w:rPr>
        <w:t xml:space="preserve"> </w:t>
      </w:r>
      <w:r>
        <w:rPr>
          <w:rFonts w:hint="eastAsia" w:ascii="宋体" w:hAnsi="宋体" w:eastAsia="宋体" w:cs="宋体"/>
          <w:spacing w:val="-4"/>
          <w:sz w:val="24"/>
          <w:szCs w:val="24"/>
        </w:rPr>
        <w:t xml:space="preserve">”、“防潮</w:t>
      </w:r>
      <w:r>
        <w:rPr>
          <w:rFonts w:hint="eastAsia" w:ascii="宋体" w:hAnsi="宋体" w:eastAsia="宋体" w:cs="宋体"/>
          <w:spacing w:val="-88"/>
          <w:sz w:val="24"/>
          <w:szCs w:val="24"/>
        </w:rPr>
        <w:t xml:space="preserve"> </w:t>
      </w:r>
      <w:r>
        <w:rPr>
          <w:rFonts w:hint="eastAsia" w:ascii="宋体" w:hAnsi="宋体" w:eastAsia="宋体" w:cs="宋体"/>
          <w:spacing w:val="-4"/>
          <w:sz w:val="24"/>
          <w:szCs w:val="24"/>
        </w:rPr>
        <w:t xml:space="preserve">”等字样和其他适当的标</w:t>
      </w:r>
      <w:r>
        <w:rPr>
          <w:rFonts w:hint="eastAsia" w:ascii="宋体" w:hAnsi="宋体" w:eastAsia="宋体" w:cs="宋体"/>
          <w:spacing w:val="-5"/>
          <w:sz w:val="24"/>
          <w:szCs w:val="24"/>
        </w:rPr>
        <w:t xml:space="preserve">记。</w:t>
      </w:r>
      <w:r/>
    </w:p>
    <w:p>
      <w:pPr>
        <w:pStyle w:val="817"/>
        <w:ind w:right="218" w:firstLine="468"/>
        <w:jc w:val="both"/>
        <w:keepLines w:val="0"/>
        <w:keepNext w:val="0"/>
        <w:pageBreakBefore w:val="0"/>
        <w:spacing w:before="115" w:line="24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5.3因缺少装运标志或者装运标志不明确导致货物在运输、装卸过程中产生的损失，乙方应承担相应的过错责任。</w:t>
      </w:r>
      <w:r/>
    </w:p>
    <w:p>
      <w:pPr>
        <w:pStyle w:val="817"/>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6.付款方式</w:t>
      </w:r>
      <w:r/>
    </w:p>
    <w:p>
      <w:pPr>
        <w:pStyle w:val="817"/>
        <w:ind w:firstLine="476"/>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6.1本合同以人民币付款。</w:t>
      </w:r>
      <w:r/>
    </w:p>
    <w:p>
      <w:pPr>
        <w:pStyle w:val="817"/>
        <w:ind w:right="218" w:firstLine="480"/>
        <w:jc w:val="both"/>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6.2乙方应按照与甲方签订的合同规定交货。交货后乙方向甲方提供下列单据，甲方按合同规定审核后付款:</w:t>
      </w:r>
      <w:r/>
    </w:p>
    <w:p>
      <w:pPr>
        <w:pStyle w:val="817"/>
        <w:ind w:firstLine="464"/>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（1）发票；</w:t>
      </w:r>
      <w:r/>
    </w:p>
    <w:p>
      <w:pPr>
        <w:pStyle w:val="817"/>
        <w:ind w:firstLine="472"/>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（2）供应商出具的质量检验证书等；</w:t>
      </w:r>
      <w:r/>
    </w:p>
    <w:p>
      <w:pPr>
        <w:pStyle w:val="817"/>
        <w:ind w:firstLine="46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（3）装箱单；</w:t>
      </w:r>
      <w:r/>
    </w:p>
    <w:p>
      <w:pPr>
        <w:pStyle w:val="817"/>
        <w:ind w:firstLine="468"/>
        <w:keepLines w:val="0"/>
        <w:keepNext w:val="0"/>
        <w:pageBreakBefore w:val="0"/>
        <w:spacing w:before="114"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（4）验收合格证；</w:t>
      </w:r>
      <w:r/>
    </w:p>
    <w:p>
      <w:pPr>
        <w:pStyle w:val="817"/>
        <w:ind w:firstLine="476"/>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（5）使用方加盖公章证明货物交付使用合格的验收表。</w:t>
      </w:r>
      <w:r/>
    </w:p>
    <w:p>
      <w:pPr>
        <w:pStyle w:val="817"/>
        <w:ind w:firstLine="476"/>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6.3甲方将按“合同主要条款及通用条款</w:t>
      </w:r>
      <w:r>
        <w:rPr>
          <w:rFonts w:hint="eastAsia" w:ascii="宋体" w:hAnsi="宋体" w:eastAsia="宋体" w:cs="宋体"/>
          <w:spacing w:val="-88"/>
          <w:position w:val="11"/>
          <w:sz w:val="24"/>
          <w:szCs w:val="24"/>
        </w:rPr>
        <w:t xml:space="preserve"> </w:t>
      </w:r>
      <w:r>
        <w:rPr>
          <w:rFonts w:hint="eastAsia" w:ascii="宋体" w:hAnsi="宋体" w:eastAsia="宋体" w:cs="宋体"/>
          <w:spacing w:val="-2"/>
          <w:position w:val="11"/>
          <w:sz w:val="24"/>
          <w:szCs w:val="24"/>
        </w:rPr>
        <w:t xml:space="preserve">”规定的付款计划安排付款。</w:t>
      </w:r>
      <w:r/>
    </w:p>
    <w:p>
      <w:pPr>
        <w:pStyle w:val="817"/>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7.伴随服务</w:t>
      </w:r>
      <w:r/>
    </w:p>
    <w:p>
      <w:pPr>
        <w:pStyle w:val="817"/>
        <w:ind w:firstLine="476"/>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7.1乙方应按照国家有关规定和合同中所附的服务承诺提供服务。</w:t>
      </w:r>
      <w:r/>
    </w:p>
    <w:p>
      <w:pPr>
        <w:pStyle w:val="817"/>
        <w:ind w:firstLine="484"/>
        <w:keepLines w:val="0"/>
        <w:keepNext w:val="0"/>
        <w:pageBreakBefore w:val="0"/>
        <w:spacing w:before="1"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7.2除第7.1条规定外，乙方还应提供下列服务:</w:t>
      </w:r>
      <w:r/>
    </w:p>
    <w:p>
      <w:pPr>
        <w:pStyle w:val="817"/>
        <w:ind w:firstLine="472"/>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（1）货物的现场安装和启动监督；</w:t>
      </w:r>
      <w:r/>
    </w:p>
    <w:p>
      <w:pPr>
        <w:pStyle w:val="817"/>
        <w:ind w:firstLine="472"/>
        <w:keepLines w:val="0"/>
        <w:keepNext w:val="0"/>
        <w:pageBreakBefore w:val="0"/>
        <w:spacing w:before="114"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（2）提供货物组装和维修所需的工具；</w:t>
      </w:r>
      <w:r/>
    </w:p>
    <w:p>
      <w:pPr>
        <w:pStyle w:val="817"/>
        <w:ind w:firstLine="480"/>
        <w:keepLines w:val="0"/>
        <w:keepNext w:val="0"/>
        <w:pageBreakBefore w:val="0"/>
        <w:spacing w:before="87"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（3）在合同中乙方承诺的期限内对所提供货物实施运行监督、维修，但前提条件是该服务并不能免除乙方在质量保证期内应承担的义务；</w:t>
      </w:r>
      <w:r/>
    </w:p>
    <w:p>
      <w:pPr>
        <w:pStyle w:val="817"/>
        <w:ind w:firstLine="476"/>
        <w:keepLines w:val="0"/>
        <w:keepNext w:val="0"/>
        <w:pageBreakBefore w:val="0"/>
        <w:spacing w:before="87"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（4）在项目交货现场就货物的安装、启动、运行、维护对甲方人员进行培训。</w:t>
      </w:r>
      <w:r/>
    </w:p>
    <w:p>
      <w:pPr>
        <w:pStyle w:val="817"/>
        <w:ind w:firstLine="476"/>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7.3伴随服务的费用应含在合同价中，不单独进行支付。</w:t>
      </w:r>
      <w:r/>
    </w:p>
    <w:p>
      <w:pPr>
        <w:pStyle w:val="817"/>
        <w:ind w:left="178"/>
        <w:keepLines w:val="0"/>
        <w:keepNext w:val="0"/>
        <w:pageBreakBefore w:val="0"/>
        <w:spacing w:before="113" w:line="24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817"/>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8.质量保证</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 乙方应保证货物（含软件及相关服务）是全新的，</w:t>
      </w:r>
      <w:r>
        <w:rPr>
          <w:rFonts w:hint="eastAsia" w:ascii="宋体" w:hAnsi="宋体" w:eastAsia="宋体" w:cs="宋体"/>
          <w:spacing w:val="-1"/>
          <w:sz w:val="24"/>
          <w:szCs w:val="24"/>
        </w:rPr>
        <w:t xml:space="preserve">未使用过的，是用一流的工</w:t>
      </w:r>
      <w:r>
        <w:rPr>
          <w:rFonts w:hint="eastAsia" w:ascii="宋体" w:hAnsi="宋体" w:eastAsia="宋体" w:cs="宋体"/>
          <w:sz w:val="24"/>
          <w:szCs w:val="24"/>
        </w:rPr>
        <w:t xml:space="preserve">艺和最佳材料制造而成的，并完全符合合同规定的质量、规格和</w:t>
      </w:r>
      <w:r>
        <w:rPr>
          <w:rFonts w:hint="eastAsia" w:ascii="宋体" w:hAnsi="宋体" w:eastAsia="宋体" w:cs="宋体"/>
          <w:spacing w:val="-1"/>
          <w:sz w:val="24"/>
          <w:szCs w:val="24"/>
        </w:rPr>
        <w:t xml:space="preserve">性能要求。乙方应保证所</w:t>
      </w:r>
      <w:r>
        <w:rPr>
          <w:rFonts w:hint="eastAsia" w:ascii="宋体" w:hAnsi="宋体" w:eastAsia="宋体" w:cs="宋体"/>
          <w:sz w:val="24"/>
          <w:szCs w:val="24"/>
        </w:rPr>
        <w:t xml:space="preserve">提供的货物（含软件及相关服务）经正确安装、正常运转和保养</w:t>
      </w:r>
      <w:r>
        <w:rPr>
          <w:rFonts w:hint="eastAsia" w:ascii="宋体" w:hAnsi="宋体" w:eastAsia="宋体" w:cs="宋体"/>
          <w:spacing w:val="-1"/>
          <w:sz w:val="24"/>
          <w:szCs w:val="24"/>
        </w:rPr>
        <w:t xml:space="preserve">在其使用寿命期内应具有</w:t>
      </w:r>
      <w:r>
        <w:rPr>
          <w:rFonts w:hint="eastAsia" w:ascii="宋体" w:hAnsi="宋体" w:eastAsia="宋体" w:cs="宋体"/>
          <w:sz w:val="24"/>
          <w:szCs w:val="24"/>
        </w:rPr>
        <w:t xml:space="preserve">满意的性能。在货物（含软件及相关服务）质量保证期内，乙方</w:t>
      </w:r>
      <w:r>
        <w:rPr>
          <w:rFonts w:hint="eastAsia" w:ascii="宋体" w:hAnsi="宋体" w:eastAsia="宋体" w:cs="宋体"/>
          <w:spacing w:val="-1"/>
          <w:sz w:val="24"/>
          <w:szCs w:val="24"/>
        </w:rPr>
        <w:t xml:space="preserve">应对由于设计、工艺或材料的缺陷而造成的任何不足或故障负责。</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8.3 乙方在收到通知后三十天内应免费维修或更换有缺陷的货物（含软件及相关服务）或部件。</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8.4 如果乙方在收到通知后三十天内没有弥补缺陷，甲方可采取必要的补救措施，但风险和费用将由乙方承担。</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8.5 除合同专用条款规定外，合同项下货物（含软件及相关服务）的质量保证期为自货物（含软件及相关服务）通过最终验收起12个月。</w:t>
      </w:r>
      <w:r/>
    </w:p>
    <w:p>
      <w:pPr>
        <w:pStyle w:val="817"/>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9.检验及安装</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 在交货前，供应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供应商检验的结果和细节应在证书中加以说明。</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9.3 如果货物（含软件及相关服务）的质量和规格与合同不符，或在第11条规定的 质量保证期内证实货物（含软件及相关服务）是有缺陷的，包括潜在的缺陷或使用不符合要求的材料，甲方将有权向乙方提出索赔。</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 甲方有权提出在货物（含软件及相关服务）制造过程中派人到制造厂进行监造，乙方有义务为甲方监造人员提供方便。</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9.5 供应商对所供货物（含软件及相关服务）进行机械运转试验和性能试验时，必须提前通知甲方。</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9.6 货物（含软件及相关服务）的安装按招标文件要求进行。</w:t>
      </w:r>
      <w:r/>
    </w:p>
    <w:p>
      <w:pPr>
        <w:pStyle w:val="817"/>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10.索赔</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10.1 除责任应由保险公司或运输部门承担的之外，甲方有权根据甲方按检验标准自己检验的结果或当地商检部门出具的商检证书向乙方提出索赔。</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10.2 在第8条和第9条规定的检验期和质量保证期内，如果乙方对甲方提出的索赔 和差异负有责任，乙方应按照甲方同意的下列一种或多种方式解决索赔事宜:</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（1）乙方同意退货，并按合同规定的同种货币将货款退还给甲方，并承担由此发生的 一切损失和费用，包括利息、银行手续费、运费、保险费、检验费、仓储费、装卸费以及 为保护退回货物（含软件及相关服务）所需的</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必要费用。</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（2）根据货物（含软件及相关服务）的低劣程度、损坏程度以及甲方遭受损失的数额，经买卖双方商定降低货物（含软件及相关服务）的价格。</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（3）用符合规格、质量和性能要求的新零件、部件或货物（含软件及相关服务）来更 换有缺陷的部分或修补缺陷部分，乙方应承担一切费用和风险并负担甲方所发生的一切直 接费用。同时，乙方应按合同第8条规定，相应延长修补或被更换部件或货物（含软件及  相关服务）的质量保证期。</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10.3 如果在甲方发出索赔通知后30天内，乙方未能答复，</w:t>
      </w:r>
      <w:r>
        <w:rPr>
          <w:rFonts w:hint="eastAsia" w:ascii="宋体" w:hAnsi="宋体" w:eastAsia="宋体" w:cs="宋体"/>
          <w:sz w:val="24"/>
          <w:szCs w:val="24"/>
          <w:lang w:eastAsia="zh-CN"/>
        </w:rPr>
        <w:t xml:space="preserve">上述</w:t>
      </w:r>
      <w:r>
        <w:rPr>
          <w:rFonts w:hint="eastAsia" w:ascii="宋体" w:hAnsi="宋体" w:eastAsia="宋体" w:cs="宋体"/>
          <w:sz w:val="24"/>
          <w:szCs w:val="24"/>
        </w:rPr>
        <w:t xml:space="preserve">索赔应视为已被乙  方接受。若乙方未能在甲方提出索赔通知后30天内或甲方同意的更长时间内，按照第10.2 条规定的任何一种方法解决索赔事宜，甲方将从已付款或从乙方开具的履约保证金中扣回索赔</w:t>
      </w:r>
      <w:r>
        <w:rPr>
          <w:rFonts w:hint="eastAsia" w:ascii="宋体" w:hAnsi="宋体" w:eastAsia="宋体" w:cs="宋体"/>
          <w:sz w:val="24"/>
          <w:szCs w:val="24"/>
          <w:lang w:eastAsia="zh-CN"/>
        </w:rPr>
        <w:t xml:space="preserve">金额</w:t>
      </w:r>
      <w:r>
        <w:rPr>
          <w:rFonts w:hint="eastAsia" w:ascii="宋体" w:hAnsi="宋体" w:eastAsia="宋体" w:cs="宋体"/>
          <w:sz w:val="24"/>
          <w:szCs w:val="24"/>
        </w:rPr>
        <w:t xml:space="preserve">。如果这些金额不足以补偿索赔金额，甲方有权向乙方提出不足部分的补偿。</w:t>
      </w:r>
      <w:r/>
    </w:p>
    <w:p>
      <w:pPr>
        <w:pStyle w:val="817"/>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11.拖延交货</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 乙方应按照合同专用条款中规定的交货期交货和提供服务。</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 如果乙方毫无理由地拖延交货，将受到以下制裁:没收履约保证金，加收违约损失赔偿和／或终止合同。</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 在履行合同过程中，如果乙方遇到不能按时交货和提供服务的情况，应及时以 书面形式将不能按时交货的理由、延误时间通知甲方。甲方在收到乙方通知后，应进行分析，可通过修改合同，酌情延长交货时间。</w:t>
      </w:r>
      <w:r/>
    </w:p>
    <w:p>
      <w:pPr>
        <w:pStyle w:val="817"/>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12.误期赔偿</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pStyle w:val="817"/>
        <w:keepLines w:val="0"/>
        <w:keepNext w:val="0"/>
        <w:pageBreakBefore w:val="0"/>
        <w:spacing w:before="110"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13.不可抗力</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 如果双方中任何一方由于战争、严重火灾、水灾、台风和地震以及其它经双方同意属于不可抗力的事故，致使合同履行受阻时，履行合同的期限应予以延长，延长的期限应相当于事故所影响的时间。</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 受事故影响的一方应在不可抗力事故发生后尽快以电报、传真或电传通知另一 方，并在事故发生后14天内，将有关部门出具的证明文件用特快专递寄给或送给另一方。如果不可抗力影响时间延续120天以上，双方应通过友好协商在合理的时间内达成进一步履行合同的协议。</w:t>
      </w:r>
      <w:r/>
    </w:p>
    <w:p>
      <w:pPr>
        <w:pStyle w:val="817"/>
        <w:keepLines w:val="0"/>
        <w:keepNext w:val="0"/>
        <w:pageBreakBefore w:val="0"/>
        <w:spacing w:before="111"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14.税费</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14.1中国政府根据现行税法规定对甲方征收的与本合同有关的一切税费，均由甲方负担。</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14.2中国政府根据现行税法规定对乙方征收的与本合同有关的一切税费均由乙方负担。</w:t>
      </w:r>
      <w:r/>
    </w:p>
    <w:p>
      <w:pPr>
        <w:pStyle w:val="817"/>
        <w:keepLines w:val="0"/>
        <w:keepNext w:val="0"/>
        <w:pageBreakBefore w:val="0"/>
        <w:spacing w:before="113" w:line="240" w:lineRule="auto"/>
        <w:widowControl w:val="off"/>
        <w:rPr>
          <w:rFonts w:hint="eastAsia" w:ascii="宋体" w:hAnsi="宋体" w:eastAsia="宋体" w:cs="宋体"/>
          <w:sz w:val="24"/>
          <w:szCs w:val="24"/>
          <w:lang w:eastAsia="zh-CN"/>
        </w:rPr>
      </w:pPr>
      <w:r>
        <w:rPr>
          <w:rFonts w:hint="eastAsia" w:ascii="宋体" w:hAnsi="宋体" w:eastAsia="宋体" w:cs="宋体"/>
          <w:spacing w:val="-4"/>
          <w:sz w:val="24"/>
          <w:szCs w:val="24"/>
        </w:rPr>
        <w:t xml:space="preserve">15.履约保证金</w:t>
      </w:r>
      <w:r/>
    </w:p>
    <w:p>
      <w:pPr>
        <w:pStyle w:val="817"/>
        <w:ind w:left="195" w:firstLine="456"/>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1、乙方交纳人民币</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lang w:val="en-US" w:eastAsia="zh-CN"/>
        </w:rPr>
        <w:t xml:space="preserve">元作为本合同的履约保证金（不得超过合同金额的1%)</w:t>
      </w:r>
      <w:r/>
    </w:p>
    <w:p>
      <w:pPr>
        <w:pStyle w:val="817"/>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pStyle w:val="817"/>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2.乙方提供的履约保证金可以是人民币形式（银行本票、汇票、支票、电汇），或银行保函、担保公司的保证担保或保险公司的保证保险等多种形式。</w:t>
      </w:r>
      <w:r/>
    </w:p>
    <w:p>
      <w:pPr>
        <w:pStyle w:val="817"/>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3.乙方选取银行保函、担保公司的保证担保或保险公司的保证保险等形式的向采购人缴纳的，如保函（担保、保险等）的约定期到期但乙方履约仍未结束的，乙方须进行续保。</w:t>
      </w:r>
      <w:r/>
    </w:p>
    <w:p>
      <w:pPr>
        <w:pStyle w:val="817"/>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817"/>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5.如乙方未能履行合同规定的义务，甲方有权从履约保证金中取得补偿。</w:t>
      </w:r>
      <w:r/>
    </w:p>
    <w:p>
      <w:pPr>
        <w:pStyle w:val="817"/>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pStyle w:val="817"/>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7.履约保证金在合同约定期间内不予退还或者应完全有效，履约保证金在项目验收合格后无息退还给乙方。</w:t>
      </w:r>
      <w:r/>
    </w:p>
    <w:p>
      <w:pPr>
        <w:pStyle w:val="817"/>
        <w:ind w:left="195"/>
        <w:keepLines w:val="0"/>
        <w:keepNext w:val="0"/>
        <w:pageBreakBefore w:val="0"/>
        <w:spacing w:before="112"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16.仲裁</w:t>
      </w:r>
      <w:r/>
    </w:p>
    <w:p>
      <w:pPr>
        <w:pStyle w:val="817"/>
        <w:ind w:left="176" w:right="218" w:firstLine="498"/>
        <w:jc w:val="both"/>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16.1 买卖双方应通过友好协商，解决在执行本合同中所发生的或与本合同有关的一</w:t>
      </w:r>
      <w:r>
        <w:rPr>
          <w:rFonts w:hint="eastAsia" w:ascii="宋体" w:hAnsi="宋体" w:eastAsia="宋体" w:cs="宋体"/>
          <w:spacing w:val="5"/>
          <w:sz w:val="24"/>
          <w:szCs w:val="24"/>
        </w:rPr>
        <w:t xml:space="preserve">  </w:t>
      </w:r>
      <w:r>
        <w:rPr>
          <w:rFonts w:hint="eastAsia" w:ascii="宋体" w:hAnsi="宋体" w:eastAsia="宋体" w:cs="宋体"/>
          <w:spacing w:val="-2"/>
          <w:sz w:val="24"/>
          <w:szCs w:val="24"/>
        </w:rPr>
        <w:t xml:space="preserve">切争端，如果协商仍得不到解决，任何一方均可按</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rPr>
        <w:t xml:space="preserve">中华人民共和国民法典</w:t>
      </w:r>
      <w:r>
        <w:rPr>
          <w:rFonts w:hint="eastAsia" w:ascii="宋体" w:hAnsi="宋体" w:eastAsia="宋体" w:cs="宋体"/>
          <w:spacing w:val="-2"/>
          <w:sz w:val="24"/>
          <w:szCs w:val="24"/>
          <w:lang w:eastAsia="zh-CN"/>
        </w:rPr>
        <w:t xml:space="preserve">》</w:t>
      </w:r>
      <w:r>
        <w:rPr>
          <w:rFonts w:hint="eastAsia" w:ascii="宋体" w:hAnsi="宋体" w:eastAsia="宋体" w:cs="宋体"/>
          <w:spacing w:val="-84"/>
          <w:sz w:val="24"/>
          <w:szCs w:val="24"/>
        </w:rPr>
        <w:t xml:space="preserve"> </w:t>
      </w:r>
      <w:r>
        <w:rPr>
          <w:rFonts w:hint="eastAsia" w:ascii="宋体" w:hAnsi="宋体" w:eastAsia="宋体" w:cs="宋体"/>
          <w:spacing w:val="-88"/>
          <w:sz w:val="24"/>
          <w:szCs w:val="24"/>
        </w:rPr>
        <w:t xml:space="preserve"> </w:t>
      </w:r>
      <w:r>
        <w:rPr>
          <w:rFonts w:hint="eastAsia" w:ascii="宋体" w:hAnsi="宋体" w:eastAsia="宋体" w:cs="宋体"/>
          <w:spacing w:val="-2"/>
          <w:sz w:val="24"/>
          <w:szCs w:val="24"/>
        </w:rPr>
        <w:t xml:space="preserve">规定提交调解和仲裁。</w:t>
      </w:r>
      <w:r/>
    </w:p>
    <w:p>
      <w:pPr>
        <w:pStyle w:val="817"/>
        <w:ind w:left="675"/>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16.2 仲裁裁决应为终局裁决，对双方均具有约</w:t>
      </w:r>
      <w:r>
        <w:rPr>
          <w:rFonts w:hint="eastAsia" w:ascii="宋体" w:hAnsi="宋体" w:eastAsia="宋体" w:cs="宋体"/>
          <w:spacing w:val="-2"/>
          <w:sz w:val="24"/>
          <w:szCs w:val="24"/>
        </w:rPr>
        <w:t xml:space="preserve">束力。</w:t>
      </w:r>
      <w:r/>
    </w:p>
    <w:p>
      <w:pPr>
        <w:pStyle w:val="817"/>
        <w:ind w:left="675"/>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16.3 仲裁费除仲裁机构另有裁决外应由败诉方</w:t>
      </w:r>
      <w:r>
        <w:rPr>
          <w:rFonts w:hint="eastAsia" w:ascii="宋体" w:hAnsi="宋体" w:eastAsia="宋体" w:cs="宋体"/>
          <w:spacing w:val="-2"/>
          <w:sz w:val="24"/>
          <w:szCs w:val="24"/>
        </w:rPr>
        <w:t xml:space="preserve">负担。</w:t>
      </w:r>
      <w:r/>
    </w:p>
    <w:p>
      <w:pPr>
        <w:pStyle w:val="817"/>
        <w:ind w:left="675"/>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16.4 在仲裁期间，除正在进行仲裁的部分外，合同</w:t>
      </w:r>
      <w:r>
        <w:rPr>
          <w:rFonts w:hint="eastAsia" w:ascii="宋体" w:hAnsi="宋体" w:eastAsia="宋体" w:cs="宋体"/>
          <w:spacing w:val="-1"/>
          <w:sz w:val="24"/>
          <w:szCs w:val="24"/>
          <w:lang w:eastAsia="zh-CN"/>
        </w:rPr>
        <w:t xml:space="preserve">其他部分</w:t>
      </w:r>
      <w:r>
        <w:rPr>
          <w:rFonts w:hint="eastAsia" w:ascii="宋体" w:hAnsi="宋体" w:eastAsia="宋体" w:cs="宋体"/>
          <w:spacing w:val="-1"/>
          <w:sz w:val="24"/>
          <w:szCs w:val="24"/>
        </w:rPr>
        <w:t xml:space="preserve">继续执行。</w:t>
      </w:r>
      <w:r/>
    </w:p>
    <w:p>
      <w:pPr>
        <w:pStyle w:val="817"/>
        <w:ind w:left="195"/>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17.违约终止合同</w:t>
      </w:r>
      <w:r/>
    </w:p>
    <w:p>
      <w:pPr>
        <w:pStyle w:val="817"/>
        <w:ind w:left="182" w:right="218" w:firstLine="572"/>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17.1 乙方有下列违约情况之一，并在收到甲方违约通知后的合理时间内，或经甲方</w:t>
      </w:r>
      <w:r>
        <w:rPr>
          <w:rFonts w:hint="eastAsia" w:ascii="宋体" w:hAnsi="宋体" w:eastAsia="宋体" w:cs="宋体"/>
          <w:spacing w:val="10"/>
          <w:sz w:val="24"/>
          <w:szCs w:val="24"/>
        </w:rPr>
        <w:t xml:space="preserve"> </w:t>
      </w:r>
      <w:r>
        <w:rPr>
          <w:rFonts w:hint="eastAsia" w:ascii="宋体" w:hAnsi="宋体" w:eastAsia="宋体" w:cs="宋体"/>
          <w:sz w:val="24"/>
          <w:szCs w:val="24"/>
        </w:rPr>
        <w:t xml:space="preserve">书面认可延长的时间内未能纠正其过失，甲方可向乙</w:t>
      </w:r>
      <w:r>
        <w:rPr>
          <w:rFonts w:hint="eastAsia" w:ascii="宋体" w:hAnsi="宋体" w:eastAsia="宋体" w:cs="宋体"/>
          <w:spacing w:val="-1"/>
          <w:sz w:val="24"/>
          <w:szCs w:val="24"/>
        </w:rPr>
        <w:t xml:space="preserve">方发出书面通知，终止部分或全部合</w:t>
      </w:r>
      <w:r/>
    </w:p>
    <w:p>
      <w:pPr>
        <w:pStyle w:val="817"/>
        <w:ind w:left="20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同。在这种情况下，并不影响甲方向乙方提出索赔。</w:t>
      </w:r>
      <w:r/>
    </w:p>
    <w:p>
      <w:pPr>
        <w:pStyle w:val="817"/>
        <w:ind w:left="188" w:right="259" w:firstLine="559"/>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（1）如果乙方未能在合同规定的期限或甲方同意延期的限期内提供全部或部分货物</w:t>
      </w:r>
      <w:r>
        <w:rPr>
          <w:rFonts w:hint="eastAsia" w:ascii="宋体" w:hAnsi="宋体" w:eastAsia="宋体" w:cs="宋体"/>
          <w:spacing w:val="15"/>
          <w:sz w:val="24"/>
          <w:szCs w:val="24"/>
        </w:rPr>
        <w:t xml:space="preserve"> </w:t>
      </w:r>
      <w:r>
        <w:rPr>
          <w:rFonts w:hint="eastAsia" w:ascii="宋体" w:hAnsi="宋体" w:eastAsia="宋体" w:cs="宋体"/>
          <w:spacing w:val="-3"/>
          <w:sz w:val="24"/>
          <w:szCs w:val="24"/>
        </w:rPr>
        <w:t xml:space="preserve">（含软件及相关服务</w:t>
      </w:r>
      <w:r>
        <w:rPr>
          <w:rFonts w:hint="eastAsia" w:ascii="宋体" w:hAnsi="宋体" w:eastAsia="宋体" w:cs="宋体"/>
          <w:spacing w:val="2"/>
          <w:sz w:val="24"/>
          <w:szCs w:val="24"/>
        </w:rPr>
        <w:t xml:space="preserve">）；</w:t>
      </w:r>
      <w:r/>
    </w:p>
    <w:p>
      <w:pPr>
        <w:pStyle w:val="817"/>
        <w:ind w:left="74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（2）如果乙方未能履行合同规定的其它义务。</w:t>
      </w:r>
      <w:r/>
    </w:p>
    <w:p>
      <w:pPr>
        <w:pStyle w:val="817"/>
        <w:ind w:left="195" w:firstLine="476"/>
        <w:keepLines w:val="0"/>
        <w:keepNext w:val="0"/>
        <w:pageBreakBefore w:val="0"/>
        <w:spacing w:before="115" w:line="240" w:lineRule="auto"/>
        <w:widowControl w:val="off"/>
        <w:rPr>
          <w:rFonts w:hint="eastAsia" w:ascii="宋体" w:hAnsi="宋体" w:eastAsia="宋体" w:cs="宋体"/>
          <w:spacing w:val="-4"/>
          <w:sz w:val="24"/>
          <w:szCs w:val="24"/>
        </w:rPr>
      </w:pPr>
      <w:r>
        <w:rPr>
          <w:rFonts w:hint="eastAsia" w:ascii="宋体" w:hAnsi="宋体" w:eastAsia="宋体" w:cs="宋体"/>
          <w:spacing w:val="-1"/>
          <w:sz w:val="24"/>
          <w:szCs w:val="24"/>
        </w:rPr>
        <w:t xml:space="preserve">17.2 在甲方根据第17.1条规定，终止了全部或部分合同，甲方可以依其认为适当的 条件和方式购买与未交货物（含软件及相关服务）类似的货物（含软件及相关服务），乙方应对购买类似货物（含软件及相关服务）所超出的费用负责。而且乙方还应继续执行</w:t>
      </w:r>
      <w:r>
        <w:rPr>
          <w:rFonts w:hint="eastAsia" w:ascii="宋体" w:hAnsi="宋体" w:eastAsia="宋体" w:cs="宋体"/>
          <w:spacing w:val="-4"/>
          <w:sz w:val="24"/>
          <w:szCs w:val="24"/>
        </w:rPr>
        <w:t xml:space="preserve">合同中未终止的部分。</w:t>
      </w:r>
      <w:r/>
    </w:p>
    <w:p>
      <w:pPr>
        <w:pStyle w:val="817"/>
        <w:ind w:left="195"/>
        <w:keepLines w:val="0"/>
        <w:keepNext w:val="0"/>
        <w:pageBreakBefore w:val="0"/>
        <w:spacing w:before="115" w:line="240" w:lineRule="auto"/>
        <w:widowControl w:val="off"/>
        <w:rPr>
          <w:rFonts w:hint="eastAsia" w:ascii="宋体" w:hAnsi="宋体" w:eastAsia="宋体" w:cs="宋体"/>
          <w:spacing w:val="-4"/>
          <w:sz w:val="24"/>
          <w:szCs w:val="24"/>
        </w:rPr>
      </w:pPr>
      <w:r>
        <w:rPr>
          <w:rFonts w:hint="eastAsia" w:ascii="宋体" w:hAnsi="宋体" w:eastAsia="宋体" w:cs="宋体"/>
          <w:spacing w:val="-4"/>
          <w:sz w:val="24"/>
          <w:szCs w:val="24"/>
        </w:rPr>
        <w:t xml:space="preserve">18.破产中止合同</w:t>
      </w:r>
      <w:r/>
    </w:p>
    <w:p>
      <w:pPr>
        <w:pStyle w:val="817"/>
        <w:ind w:left="195" w:firstLine="464"/>
        <w:keepLines w:val="0"/>
        <w:keepNext w:val="0"/>
        <w:pageBreakBefore w:val="0"/>
        <w:spacing w:before="115" w:line="240" w:lineRule="auto"/>
        <w:widowControl w:val="off"/>
        <w:rPr>
          <w:rFonts w:hint="eastAsia" w:ascii="宋体" w:hAnsi="宋体" w:eastAsia="宋体" w:cs="宋体"/>
          <w:spacing w:val="-2"/>
          <w:sz w:val="24"/>
          <w:szCs w:val="24"/>
        </w:rPr>
      </w:pPr>
      <w:r>
        <w:rPr>
          <w:rFonts w:hint="eastAsia" w:ascii="宋体" w:hAnsi="宋体" w:eastAsia="宋体" w:cs="宋体"/>
          <w:spacing w:val="-4"/>
          <w:sz w:val="24"/>
          <w:szCs w:val="24"/>
        </w:rPr>
        <w:t xml:space="preserve">18.1如果乙方</w:t>
      </w:r>
      <w:r>
        <w:rPr>
          <w:rFonts w:hint="eastAsia" w:ascii="宋体" w:hAnsi="宋体" w:eastAsia="宋体" w:cs="宋体"/>
          <w:spacing w:val="-1"/>
          <w:sz w:val="24"/>
          <w:szCs w:val="24"/>
        </w:rPr>
        <w:t xml:space="preserve">破产或无清偿能力，甲方可在任何时候以书面形式通知乙方中止合同而</w:t>
      </w:r>
      <w:r>
        <w:rPr>
          <w:rFonts w:hint="eastAsia" w:ascii="宋体" w:hAnsi="宋体" w:eastAsia="宋体" w:cs="宋体"/>
          <w:spacing w:val="10"/>
          <w:sz w:val="24"/>
          <w:szCs w:val="24"/>
        </w:rPr>
        <w:t xml:space="preserve"> </w:t>
      </w:r>
      <w:r>
        <w:rPr>
          <w:rFonts w:hint="eastAsia" w:ascii="宋体" w:hAnsi="宋体" w:eastAsia="宋体" w:cs="宋体"/>
          <w:sz w:val="24"/>
          <w:szCs w:val="24"/>
        </w:rPr>
        <w:t xml:space="preserve">不给乙方补偿。该中止合同将不损害或影响甲方和使用</w:t>
      </w:r>
      <w:r>
        <w:rPr>
          <w:rFonts w:hint="eastAsia" w:ascii="宋体" w:hAnsi="宋体" w:eastAsia="宋体" w:cs="宋体"/>
          <w:spacing w:val="-1"/>
          <w:sz w:val="24"/>
          <w:szCs w:val="24"/>
        </w:rPr>
        <w:t xml:space="preserve">方已经采取或将要采取的任何行动</w:t>
      </w:r>
      <w:r>
        <w:rPr>
          <w:rFonts w:hint="eastAsia" w:ascii="宋体" w:hAnsi="宋体" w:eastAsia="宋体" w:cs="宋体"/>
          <w:spacing w:val="-2"/>
          <w:sz w:val="24"/>
          <w:szCs w:val="24"/>
        </w:rPr>
        <w:t xml:space="preserve">或补救措施的权力。</w:t>
      </w:r>
      <w:r/>
    </w:p>
    <w:p>
      <w:pPr>
        <w:pStyle w:val="817"/>
        <w:numPr>
          <w:ilvl w:val="0"/>
          <w:numId w:val="0"/>
        </w:numPr>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19.项目验收</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19.1 甲方依法组织履约验收工作。</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19.3 对于实际使用人和甲方分离的项目，甲方邀请实际使用人参与验收。</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19.4 如有必要，甲方邀请参加本项目的其他供应商或第三方专业机构及专家参与验收，相关意见将作为验收书的参考资料。</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17"/>
        <w:ind w:left="195"/>
        <w:keepLines w:val="0"/>
        <w:keepNext w:val="0"/>
        <w:pageBreakBefore w:val="0"/>
        <w:spacing w:before="112"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lang w:val="en-US" w:eastAsia="zh-CN"/>
        </w:rPr>
        <w:t xml:space="preserve">20</w:t>
      </w:r>
      <w:r>
        <w:rPr>
          <w:rFonts w:hint="eastAsia" w:ascii="宋体" w:hAnsi="宋体" w:eastAsia="宋体" w:cs="宋体"/>
          <w:spacing w:val="-6"/>
          <w:sz w:val="24"/>
          <w:szCs w:val="24"/>
        </w:rPr>
        <w:t xml:space="preserve">.转让</w:t>
      </w:r>
      <w:r/>
    </w:p>
    <w:p>
      <w:pPr>
        <w:pStyle w:val="817"/>
        <w:ind w:left="675"/>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lang w:val="en-US" w:eastAsia="zh-CN"/>
        </w:rPr>
        <w:t xml:space="preserve">20</w:t>
      </w:r>
      <w:r>
        <w:rPr>
          <w:rFonts w:hint="eastAsia" w:ascii="宋体" w:hAnsi="宋体" w:eastAsia="宋体" w:cs="宋体"/>
          <w:spacing w:val="-1"/>
          <w:position w:val="11"/>
          <w:sz w:val="24"/>
          <w:szCs w:val="24"/>
        </w:rPr>
        <w:t xml:space="preserve">.1 除甲方事先书面同意外，乙方不得部分转让或全部转让其应履行的合同义务。</w:t>
      </w:r>
      <w:r/>
    </w:p>
    <w:p>
      <w:pPr>
        <w:pStyle w:val="817"/>
        <w:ind w:left="180"/>
        <w:keepLines w:val="0"/>
        <w:keepNext w:val="0"/>
        <w:pageBreakBefore w:val="0"/>
        <w:spacing w:before="1"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21</w:t>
      </w:r>
      <w:r>
        <w:rPr>
          <w:rFonts w:hint="eastAsia" w:ascii="宋体" w:hAnsi="宋体" w:eastAsia="宋体" w:cs="宋体"/>
          <w:spacing w:val="-2"/>
          <w:sz w:val="24"/>
          <w:szCs w:val="24"/>
        </w:rPr>
        <w:t xml:space="preserve">.合同生效及其它</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21.1金湖县住房和城乡建设局 </w:t>
      </w:r>
      <w:r>
        <w:rPr>
          <w:rFonts w:hint="eastAsia" w:ascii="宋体" w:hAnsi="宋体" w:eastAsia="宋体" w:cs="宋体"/>
          <w:sz w:val="24"/>
          <w:szCs w:val="24"/>
          <w:u w:val="single"/>
          <w:lang w:val="en-US" w:eastAsia="zh-CN"/>
        </w:rPr>
        <w:t xml:space="preserve">     号</w:t>
      </w:r>
      <w:r>
        <w:rPr>
          <w:rFonts w:hint="eastAsia" w:ascii="宋体" w:hAnsi="宋体" w:eastAsia="宋体" w:cs="宋体"/>
          <w:sz w:val="24"/>
          <w:szCs w:val="24"/>
          <w:lang w:val="en-US" w:eastAsia="zh-CN"/>
        </w:rPr>
        <w:t xml:space="preserve">招标文件、投标方提交</w:t>
      </w:r>
      <w:r>
        <w:rPr>
          <w:rFonts w:hint="eastAsia" w:ascii="宋体" w:hAnsi="宋体" w:eastAsia="宋体" w:cs="宋体"/>
          <w:sz w:val="24"/>
          <w:szCs w:val="24"/>
          <w:u w:val="single"/>
          <w:lang w:val="en-US" w:eastAsia="zh-CN"/>
        </w:rPr>
        <w:t xml:space="preserve">       号</w:t>
      </w:r>
      <w:r>
        <w:rPr>
          <w:rFonts w:hint="eastAsia" w:ascii="宋体" w:hAnsi="宋体" w:eastAsia="宋体" w:cs="宋体"/>
          <w:sz w:val="24"/>
          <w:szCs w:val="24"/>
          <w:lang w:val="en-US" w:eastAsia="zh-CN"/>
        </w:rPr>
        <w:t xml:space="preserve">投标文件、</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本次招标的中标通知书和招标过程中卖方的投标澄清等内容将作为本次采购合同文件的主 要内容。卖方在合同履行过程中若发生服务内容缩减、服务不及时的现象，买方有权对卖 方处以适当的经济处罚。</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21.2本合同在甲乙双方盖章后生效。</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21.3本合同一式五份，以中文书就，甲方、乙方各执二份，备案一份。</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21.4合同货物交付使用后所发生的合同纠纷，甲方与乙方进行处理。</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21.5如需修改或补充合同内容，应经乙方、甲方协商，签署书面修改或补充协议。该</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协议将作为本合同不可分割的一部分。</w:t>
      </w:r>
      <w:r/>
    </w:p>
    <w:p>
      <w:pPr>
        <w:pStyle w:val="817"/>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21.6本合同应按照中华人民共和国的现行法律进行解释。</w:t>
      </w:r>
      <w:r/>
    </w:p>
    <w:p>
      <w:pPr>
        <w:keepLines w:val="0"/>
        <w:keepNext w:val="0"/>
        <w:pageBreakBefore w:val="0"/>
        <w:spacing w:line="240" w:lineRule="auto"/>
        <w:widowControl w:val="off"/>
        <w:rPr>
          <w:rFonts w:hint="eastAsia" w:ascii="宋体" w:hAnsi="宋体" w:eastAsia="宋体" w:cs="宋体"/>
          <w:sz w:val="24"/>
          <w:szCs w:val="24"/>
        </w:rPr>
        <w:sectPr>
          <w:footerReference w:type="default" r:id="rId10"/>
          <w:footnotePr/>
          <w:endnotePr/>
          <w:type w:val="nextPage"/>
          <w:pgSz w:w="11911" w:h="16840" w:orient="portrait"/>
          <w:pgMar w:top="1274" w:right="1084" w:bottom="1254" w:left="1080" w:header="890" w:footer="1076" w:gutter="0"/>
          <w:cols w:num="1" w:sep="0" w:space="720" w:equalWidth="1"/>
          <w:docGrid w:linePitch="360"/>
        </w:sectPr>
      </w:pPr>
      <w:r>
        <w:rPr>
          <w:rFonts w:hint="eastAsia" w:ascii="宋体" w:hAnsi="宋体" w:eastAsia="宋体" w:cs="宋体"/>
          <w:sz w:val="24"/>
          <w:szCs w:val="24"/>
        </w:rPr>
      </w:r>
      <w:r/>
    </w:p>
    <w:p>
      <w:pPr>
        <w:pStyle w:val="817"/>
        <w:jc w:val="center"/>
        <w:keepLines w:val="0"/>
        <w:keepNext w:val="0"/>
        <w:pageBreakBefore w:val="0"/>
        <w:spacing w:before="46" w:line="240" w:lineRule="auto"/>
        <w:widowControl w:val="off"/>
        <w:rPr>
          <w:rFonts w:hint="eastAsia" w:ascii="宋体" w:hAnsi="宋体" w:eastAsia="宋体" w:cs="宋体"/>
          <w:b/>
          <w:bCs/>
          <w:spacing w:val="22"/>
          <w:sz w:val="28"/>
          <w:szCs w:val="28"/>
          <w:lang w:eastAsia="zh-CN"/>
        </w:rPr>
        <w:outlineLvl w:val="1"/>
      </w:pPr>
      <w:r/>
      <w:bookmarkStart w:id="11" w:name="bookmark5"/>
      <w:r/>
      <w:bookmarkEnd w:id="11"/>
      <w:r>
        <w:rPr>
          <w:rFonts w:hint="eastAsia" w:ascii="宋体" w:hAnsi="宋体" w:eastAsia="宋体" w:cs="宋体"/>
          <w:b/>
          <w:bCs/>
          <w:spacing w:val="22"/>
          <w:sz w:val="28"/>
          <w:szCs w:val="28"/>
          <w:lang w:eastAsia="zh-CN"/>
        </w:rPr>
        <w:t xml:space="preserve">合同协议书</w:t>
      </w:r>
      <w:r/>
    </w:p>
    <w:p>
      <w:pPr>
        <w:ind w:left="0" w:firstLine="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br/>
      </w:r>
      <w:r>
        <w:rPr>
          <w:rFonts w:hint="eastAsia" w:ascii="宋体" w:hAnsi="宋体" w:eastAsia="宋体" w:cs="宋体"/>
          <w:sz w:val="24"/>
          <w:szCs w:val="24"/>
        </w:rPr>
        <w:t xml:space="preserve">乙方：</w:t>
      </w: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br/>
      </w:r>
      <w:r>
        <w:rPr>
          <w:rFonts w:hint="eastAsia" w:ascii="宋体" w:hAnsi="宋体" w:eastAsia="宋体" w:cs="宋体"/>
          <w:sz w:val="24"/>
          <w:szCs w:val="24"/>
        </w:rPr>
        <w:t xml:space="preserve">甲、乙双方根据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项目招标采购的结果，签署本合同。</w:t>
      </w:r>
      <w:r/>
    </w:p>
    <w:p>
      <w:pPr>
        <w:ind w:firstLine="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一、合同内容</w:t>
      </w:r>
      <w:r>
        <w:rPr>
          <w:rFonts w:hint="eastAsia" w:ascii="宋体" w:hAnsi="宋体" w:eastAsia="宋体" w:cs="宋体"/>
          <w:sz w:val="24"/>
          <w:szCs w:val="24"/>
        </w:rPr>
        <w:br/>
      </w:r>
      <w:r>
        <w:rPr>
          <w:rFonts w:hint="eastAsia" w:ascii="宋体" w:hAnsi="宋体" w:eastAsia="宋体" w:cs="宋体"/>
          <w:sz w:val="24"/>
          <w:szCs w:val="24"/>
        </w:rPr>
        <w:t xml:space="preserve">1.项目名称：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2.项目内容：本项目</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文件规定的全部工作内容</w:t>
      </w:r>
      <w:r>
        <w:rPr>
          <w:rFonts w:hint="eastAsia" w:ascii="宋体" w:hAnsi="宋体" w:eastAsia="宋体" w:cs="宋体"/>
          <w:sz w:val="24"/>
          <w:szCs w:val="24"/>
          <w:lang w:eastAsia="zh-CN"/>
        </w:rPr>
        <w:t xml:space="preserve">，详见招标文件采购需求及乙方投标文件报价明细表。</w:t>
      </w:r>
      <w:r>
        <w:rPr>
          <w:rFonts w:hint="eastAsia" w:ascii="宋体" w:hAnsi="宋体" w:eastAsia="宋体" w:cs="宋体"/>
          <w:sz w:val="24"/>
          <w:szCs w:val="24"/>
        </w:rPr>
        <w:br/>
      </w:r>
      <w:r>
        <w:rPr>
          <w:rFonts w:hint="eastAsia" w:ascii="宋体" w:hAnsi="宋体" w:eastAsia="宋体" w:cs="宋体"/>
          <w:sz w:val="24"/>
          <w:szCs w:val="24"/>
        </w:rPr>
        <w:t xml:space="preserve">二、合同金额</w:t>
      </w:r>
      <w:r>
        <w:rPr>
          <w:rFonts w:hint="eastAsia" w:ascii="宋体" w:hAnsi="宋体" w:eastAsia="宋体" w:cs="宋体"/>
          <w:sz w:val="24"/>
          <w:szCs w:val="24"/>
        </w:rPr>
        <w:br/>
      </w:r>
      <w:r>
        <w:rPr>
          <w:rFonts w:hint="eastAsia" w:ascii="宋体" w:hAnsi="宋体" w:eastAsia="宋体" w:cs="宋体"/>
          <w:sz w:val="24"/>
          <w:szCs w:val="24"/>
        </w:rPr>
        <w:t xml:space="preserve">1、本合同金额为人民币</w:t>
      </w:r>
      <w:r>
        <w:rPr>
          <w:rFonts w:hint="eastAsia" w:ascii="宋体" w:hAnsi="宋体" w:eastAsia="宋体" w:cs="宋体"/>
          <w:sz w:val="24"/>
          <w:szCs w:val="24"/>
          <w:u w:val="single"/>
        </w:rPr>
        <w:t xml:space="preserve">（大写）：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rPr>
        <w:t xml:space="preserve">元）。</w:t>
      </w:r>
      <w:r>
        <w:rPr>
          <w:rFonts w:hint="eastAsia" w:ascii="宋体" w:hAnsi="宋体" w:eastAsia="宋体" w:cs="宋体"/>
          <w:sz w:val="24"/>
          <w:szCs w:val="24"/>
          <w:u w:val="single"/>
        </w:rPr>
        <w:br/>
      </w:r>
      <w:r>
        <w:rPr>
          <w:rFonts w:hint="eastAsia" w:ascii="宋体" w:hAnsi="宋体" w:eastAsia="宋体" w:cs="宋体"/>
          <w:sz w:val="24"/>
          <w:szCs w:val="24"/>
        </w:rPr>
        <w:t xml:space="preserve">三、技术性能和技术资料</w:t>
      </w:r>
      <w:r>
        <w:rPr>
          <w:rFonts w:hint="eastAsia" w:ascii="宋体" w:hAnsi="宋体" w:eastAsia="宋体" w:cs="宋体"/>
          <w:sz w:val="24"/>
          <w:szCs w:val="24"/>
        </w:rPr>
        <w:br/>
      </w:r>
      <w:r>
        <w:rPr>
          <w:rFonts w:hint="eastAsia" w:ascii="宋体" w:hAnsi="宋体" w:eastAsia="宋体" w:cs="宋体"/>
          <w:sz w:val="24"/>
          <w:szCs w:val="24"/>
        </w:rPr>
        <w:t xml:space="preserve">1. 乙方所提供货物、设备和服务的技术规格、内容应与</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规定的技术规范和需要相一致；符合国家有关部门最新颁布的标准及规范。</w:t>
      </w:r>
      <w:r>
        <w:rPr>
          <w:rFonts w:hint="eastAsia" w:ascii="宋体" w:hAnsi="宋体" w:eastAsia="宋体" w:cs="宋体"/>
          <w:sz w:val="24"/>
          <w:szCs w:val="24"/>
        </w:rPr>
        <w:br/>
      </w:r>
      <w:r>
        <w:rPr>
          <w:rFonts w:hint="eastAsia" w:ascii="宋体" w:hAnsi="宋体" w:eastAsia="宋体" w:cs="宋体"/>
          <w:sz w:val="24"/>
          <w:szCs w:val="24"/>
        </w:rPr>
        <w:t xml:space="preserve">2. 没有</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事先书面同意，乙方不得将由</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sz w:val="24"/>
          <w:szCs w:val="24"/>
        </w:rPr>
        <w:br/>
      </w:r>
      <w:r>
        <w:rPr>
          <w:rFonts w:hint="eastAsia" w:ascii="宋体" w:hAnsi="宋体" w:eastAsia="宋体" w:cs="宋体"/>
          <w:sz w:val="24"/>
          <w:szCs w:val="24"/>
        </w:rPr>
        <w:t xml:space="preserve">四、知识产权</w:t>
      </w:r>
      <w:r>
        <w:rPr>
          <w:rFonts w:hint="eastAsia" w:ascii="宋体" w:hAnsi="宋体" w:eastAsia="宋体" w:cs="宋体"/>
          <w:sz w:val="24"/>
          <w:szCs w:val="24"/>
        </w:rPr>
        <w:br/>
      </w:r>
      <w:r>
        <w:rPr>
          <w:rFonts w:hint="eastAsia" w:ascii="宋体" w:hAnsi="宋体" w:eastAsia="宋体" w:cs="宋体"/>
          <w:sz w:val="24"/>
          <w:szCs w:val="24"/>
        </w:rPr>
        <w:t xml:space="preserve">乙方应保证所提供的货物、设备及服务或其任何一部分均不会侵犯任何第三方的知识产权，乙方对</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提供的业务资料、技术资料应严格保密，不得扩散。乙方应保证</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在使用、接受本合同货物设备和服务或其任何一部分时不受乙方及第三方提出侵犯其专利权、版权、商标权和工业设计权等知识产权的起诉。一旦出现侵权，由乙方负全部责任。</w:t>
      </w:r>
      <w:r/>
    </w:p>
    <w:p>
      <w:pPr>
        <w:ind w:firstLine="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五、</w:t>
      </w:r>
      <w:r>
        <w:rPr>
          <w:rFonts w:hint="eastAsia" w:ascii="宋体" w:hAnsi="宋体" w:eastAsia="宋体" w:cs="宋体"/>
          <w:sz w:val="24"/>
          <w:szCs w:val="24"/>
        </w:rPr>
        <w:t xml:space="preserve">承诺书及实施方案</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乙方在投标过程中所提交的所有承诺书及实施方案，在实际实施过程中必须严格按照并执行。未按照投标过程中所提交的所有承诺书及实施方案执行的，甲方保留索赔的权利且有权解除合同。</w:t>
      </w:r>
      <w:r/>
    </w:p>
    <w:p>
      <w:pP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乙方必须严格按照招标文件、投标文件的内容及甲方的要求完成项目内容等，如出现无法履约或提供产品不合格的情况，甲方有权要求整改，若整改后还无法达到要求并影响项目验收的，甲方有权终止合同，并要求乙方支付合同总值5%的违约金。</w:t>
      </w:r>
      <w:r/>
    </w:p>
    <w:p>
      <w:pP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如项目实施中涉及到建筑垃圾处置工作，根据《中华人民共和国固体废物污染环境防治法》、《城市建筑垃圾管理规定》等法律法规要求，乙方应当编制建筑垃圾处理方案，并在开工前报金湖县城市管理服务中心备案，且不得将建筑垃圾交给个人或者未经核准从事建筑垃圾运输的单位运输，不得擅自倾倒、抛撒或者堆放工程施工过程中产生的建筑垃圾。</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六、</w:t>
      </w:r>
      <w:r>
        <w:rPr>
          <w:rFonts w:hint="eastAsia" w:ascii="宋体" w:hAnsi="宋体" w:eastAsia="宋体" w:cs="宋体"/>
          <w:sz w:val="24"/>
          <w:szCs w:val="24"/>
          <w:highlight w:val="none"/>
        </w:rPr>
        <w:t xml:space="preserve">转包或分包</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1.本合同范</w:t>
      </w:r>
      <w:r>
        <w:rPr>
          <w:rFonts w:hint="eastAsia" w:ascii="宋体" w:hAnsi="宋体" w:eastAsia="宋体" w:cs="宋体"/>
          <w:sz w:val="24"/>
          <w:szCs w:val="24"/>
          <w:highlight w:val="none"/>
          <w:lang w:eastAsia="zh-CN"/>
        </w:rPr>
        <w:t xml:space="preserve">围内</w:t>
      </w:r>
      <w:r>
        <w:rPr>
          <w:rFonts w:hint="eastAsia" w:ascii="宋体" w:hAnsi="宋体" w:eastAsia="宋体" w:cs="宋体"/>
          <w:sz w:val="24"/>
          <w:szCs w:val="24"/>
          <w:highlight w:val="none"/>
        </w:rPr>
        <w:t xml:space="preserve">的货物、设备应由乙方直接供应，不得转让他人供应；</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2.除非得到</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的书面同意，乙方不得将本合同范围的货物、设备全部或部分分包给他人供应；</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3.乙方在涉及到项目施工部分，如无相应的施工资质，须分包给相应资质的施工单位并经甲方同意后实施</w:t>
      </w:r>
      <w:r>
        <w:rPr>
          <w:rFonts w:hint="eastAsia" w:ascii="宋体" w:hAnsi="宋体" w:eastAsia="宋体" w:cs="宋体"/>
          <w:sz w:val="24"/>
          <w:szCs w:val="24"/>
          <w:highlight w:val="none"/>
        </w:rPr>
        <w:t xml:space="preserve">；</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.如有转让和未经</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同意的分包行为，</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有权解除合同</w:t>
      </w:r>
      <w:r>
        <w:rPr>
          <w:rFonts w:hint="eastAsia" w:ascii="宋体" w:hAnsi="宋体" w:eastAsia="宋体" w:cs="宋体"/>
          <w:sz w:val="24"/>
          <w:szCs w:val="24"/>
          <w:highlight w:val="none"/>
          <w:lang w:eastAsia="zh-CN"/>
        </w:rPr>
        <w:t xml:space="preserve">并</w:t>
      </w:r>
      <w:r>
        <w:rPr>
          <w:rFonts w:hint="eastAsia" w:ascii="宋体" w:hAnsi="宋体" w:eastAsia="宋体" w:cs="宋体"/>
          <w:sz w:val="24"/>
          <w:szCs w:val="24"/>
          <w:highlight w:val="none"/>
        </w:rPr>
        <w:t xml:space="preserve">追究乙方的违约责任</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按合同价款的5%</w:t>
      </w:r>
      <w:r>
        <w:rPr>
          <w:rFonts w:hint="eastAsia" w:ascii="宋体" w:hAnsi="宋体" w:eastAsia="宋体" w:cs="宋体"/>
          <w:sz w:val="24"/>
          <w:szCs w:val="24"/>
          <w:highlight w:val="none"/>
          <w:lang w:eastAsia="zh-CN"/>
        </w:rPr>
        <w:t xml:space="preserve">支付违约金</w:t>
      </w:r>
      <w:r>
        <w:rPr>
          <w:rFonts w:hint="eastAsia" w:ascii="宋体" w:hAnsi="宋体" w:eastAsia="宋体" w:cs="宋体"/>
          <w:sz w:val="24"/>
          <w:szCs w:val="24"/>
          <w:highlight w:val="none"/>
        </w:rPr>
        <w:t xml:space="preserve">。</w:t>
      </w:r>
      <w:r>
        <w:rPr>
          <w:rFonts w:hint="eastAsia" w:ascii="宋体" w:hAnsi="宋体" w:eastAsia="宋体" w:cs="宋体"/>
          <w:sz w:val="24"/>
          <w:szCs w:val="24"/>
        </w:rPr>
        <w:br/>
      </w:r>
      <w:r>
        <w:rPr>
          <w:rFonts w:hint="eastAsia" w:ascii="宋体" w:hAnsi="宋体" w:eastAsia="宋体" w:cs="宋体"/>
          <w:sz w:val="24"/>
          <w:szCs w:val="24"/>
          <w:lang w:eastAsia="zh-CN"/>
        </w:rPr>
        <w:t xml:space="preserve">七</w:t>
      </w:r>
      <w:r>
        <w:rPr>
          <w:rFonts w:hint="eastAsia" w:ascii="宋体" w:hAnsi="宋体" w:eastAsia="宋体" w:cs="宋体"/>
          <w:sz w:val="24"/>
          <w:szCs w:val="24"/>
        </w:rPr>
        <w:t xml:space="preserve">、项目完成时间、交货方式及交货地点</w:t>
      </w:r>
      <w:r>
        <w:rPr>
          <w:rFonts w:hint="eastAsia" w:ascii="宋体" w:hAnsi="宋体" w:eastAsia="宋体" w:cs="宋体"/>
          <w:sz w:val="24"/>
          <w:szCs w:val="24"/>
        </w:rPr>
        <w:br/>
      </w:r>
      <w:r>
        <w:rPr>
          <w:rFonts w:hint="eastAsia" w:ascii="宋体" w:hAnsi="宋体" w:eastAsia="宋体" w:cs="宋体"/>
          <w:sz w:val="24"/>
          <w:szCs w:val="24"/>
        </w:rPr>
        <w:t xml:space="preserve">1. 项目完成时间：（投标人承诺时间）</w:t>
      </w:r>
      <w:r>
        <w:rPr>
          <w:rFonts w:hint="eastAsia" w:ascii="宋体" w:hAnsi="宋体" w:eastAsia="宋体" w:cs="宋体"/>
          <w:sz w:val="24"/>
          <w:szCs w:val="24"/>
        </w:rPr>
        <w:br/>
      </w:r>
      <w:r>
        <w:rPr>
          <w:rFonts w:hint="eastAsia" w:ascii="宋体" w:hAnsi="宋体" w:eastAsia="宋体" w:cs="宋体"/>
          <w:sz w:val="24"/>
          <w:szCs w:val="24"/>
        </w:rPr>
        <w:t xml:space="preserve">2. 交货方式：</w:t>
      </w:r>
      <w:r>
        <w:rPr>
          <w:rFonts w:hint="eastAsia" w:ascii="宋体" w:hAnsi="宋体" w:eastAsia="宋体" w:cs="宋体"/>
          <w:sz w:val="24"/>
          <w:szCs w:val="24"/>
        </w:rPr>
        <w:br/>
      </w:r>
      <w:r>
        <w:rPr>
          <w:rFonts w:hint="eastAsia" w:ascii="宋体" w:hAnsi="宋体" w:eastAsia="宋体" w:cs="宋体"/>
          <w:sz w:val="24"/>
          <w:szCs w:val="24"/>
        </w:rPr>
        <w:t xml:space="preserve">（1）乙方交货前应对产品作出全面检查和对验收文件进行整理，并列出清单，作为</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收货验收和使用的技术条件依据，检验的结果应随货物交</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w:t>
      </w:r>
      <w:r>
        <w:rPr>
          <w:rFonts w:hint="eastAsia" w:ascii="宋体" w:hAnsi="宋体" w:eastAsia="宋体" w:cs="宋体"/>
          <w:sz w:val="24"/>
          <w:szCs w:val="24"/>
        </w:rPr>
        <w:br/>
      </w:r>
      <w:r>
        <w:rPr>
          <w:rFonts w:hint="eastAsia" w:ascii="宋体" w:hAnsi="宋体" w:eastAsia="宋体" w:cs="宋体"/>
          <w:sz w:val="24"/>
          <w:szCs w:val="24"/>
        </w:rPr>
        <w:t xml:space="preserve">（2）货物、材料运抵现场后，甲方对乙方提交的货物依据</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上的技术规格要求和国家有关质量标准进行现场初步验收，外观、说明书符合</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技术要求的，给予签收，初步验收不合格的不予签收。</w:t>
      </w:r>
      <w:r>
        <w:rPr>
          <w:rFonts w:hint="eastAsia" w:ascii="宋体" w:hAnsi="宋体" w:eastAsia="宋体" w:cs="宋体"/>
          <w:sz w:val="24"/>
          <w:szCs w:val="24"/>
        </w:rPr>
        <w:br/>
      </w:r>
      <w:r>
        <w:rPr>
          <w:rFonts w:hint="eastAsia" w:ascii="宋体" w:hAnsi="宋体" w:eastAsia="宋体" w:cs="宋体"/>
          <w:sz w:val="24"/>
          <w:szCs w:val="24"/>
        </w:rPr>
        <w:t xml:space="preserve">（3）对设备、材料的品牌、型号、数量、产地等进行检查和清点，同类型的所有设备和材料应</w:t>
      </w:r>
      <w:r>
        <w:rPr>
          <w:rFonts w:hint="eastAsia" w:ascii="宋体" w:hAnsi="宋体" w:eastAsia="宋体" w:cs="宋体"/>
          <w:sz w:val="24"/>
          <w:szCs w:val="24"/>
          <w:lang w:eastAsia="zh-CN"/>
        </w:rPr>
        <w:t xml:space="preserve">属于</w:t>
      </w:r>
      <w:r>
        <w:rPr>
          <w:rFonts w:hint="eastAsia" w:ascii="宋体" w:hAnsi="宋体" w:eastAsia="宋体" w:cs="宋体"/>
          <w:sz w:val="24"/>
          <w:szCs w:val="24"/>
        </w:rPr>
        <w:t xml:space="preserve">同一制造商的同一地产品。如检验中发现短缺、损坏或假冒伪劣商品，乙方应立即采取补救措施，不得因此影响施工，否则一切损失由乙方负责。</w:t>
      </w:r>
      <w:r>
        <w:rPr>
          <w:rFonts w:hint="eastAsia" w:ascii="宋体" w:hAnsi="宋体" w:eastAsia="宋体" w:cs="宋体"/>
          <w:sz w:val="24"/>
          <w:szCs w:val="24"/>
        </w:rPr>
        <w:br/>
      </w:r>
      <w:r>
        <w:rPr>
          <w:rFonts w:hint="eastAsia" w:ascii="宋体" w:hAnsi="宋体" w:eastAsia="宋体" w:cs="宋体"/>
          <w:sz w:val="24"/>
          <w:szCs w:val="24"/>
        </w:rPr>
        <w:t xml:space="preserve">（4）所有税费均由乙方承担。</w:t>
      </w:r>
      <w:r>
        <w:rPr>
          <w:rFonts w:hint="eastAsia" w:ascii="宋体" w:hAnsi="宋体" w:eastAsia="宋体" w:cs="宋体"/>
          <w:sz w:val="24"/>
          <w:szCs w:val="24"/>
        </w:rPr>
        <w:br/>
      </w:r>
      <w:r>
        <w:rPr>
          <w:rFonts w:hint="eastAsia" w:ascii="宋体" w:hAnsi="宋体" w:eastAsia="宋体" w:cs="宋体"/>
          <w:sz w:val="24"/>
          <w:szCs w:val="24"/>
        </w:rPr>
        <w:t xml:space="preserve">3．交货地点：</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指定地点。</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交货期或交付使用期：</w:t>
      </w:r>
      <w:r>
        <w:rPr>
          <w:rFonts w:hint="eastAsia" w:ascii="宋体" w:hAnsi="宋体" w:eastAsia="宋体" w:cs="宋体"/>
          <w:color w:val="auto"/>
          <w:sz w:val="24"/>
          <w:szCs w:val="24"/>
          <w:highlight w:val="none"/>
        </w:rPr>
        <w:t xml:space="preserve">暂定</w:t>
      </w:r>
      <w:r>
        <w:rPr>
          <w:rFonts w:hint="eastAsia" w:ascii="宋体" w:hAnsi="宋体" w:eastAsia="宋体" w:cs="宋体"/>
          <w:color w:val="auto"/>
          <w:sz w:val="24"/>
          <w:szCs w:val="24"/>
          <w:highlight w:val="none"/>
          <w:lang w:eastAsia="zh-CN"/>
        </w:rPr>
        <w:t xml:space="preserve">90</w:t>
      </w:r>
      <w:r>
        <w:rPr>
          <w:rFonts w:hint="eastAsia" w:ascii="宋体" w:hAnsi="宋体" w:eastAsia="宋体" w:cs="宋体"/>
          <w:color w:val="auto"/>
          <w:sz w:val="24"/>
          <w:szCs w:val="24"/>
          <w:highlight w:val="none"/>
        </w:rPr>
        <w:t xml:space="preserve">日历天（具体以招标人通知时间为准）</w:t>
      </w:r>
      <w:r>
        <w:rPr>
          <w:rFonts w:hint="eastAsia" w:ascii="宋体" w:hAnsi="宋体" w:eastAsia="宋体" w:cs="宋体"/>
          <w:sz w:val="24"/>
          <w:szCs w:val="24"/>
          <w:highlight w:val="yellow"/>
        </w:rPr>
        <w:br/>
      </w:r>
      <w:r>
        <w:rPr>
          <w:rFonts w:hint="eastAsia" w:ascii="宋体" w:hAnsi="宋体" w:eastAsia="宋体" w:cs="宋体"/>
          <w:sz w:val="24"/>
          <w:szCs w:val="24"/>
          <w:lang w:eastAsia="zh-CN"/>
        </w:rPr>
        <w:t xml:space="preserve">八</w:t>
      </w:r>
      <w:r>
        <w:rPr>
          <w:rFonts w:hint="eastAsia" w:ascii="宋体" w:hAnsi="宋体" w:eastAsia="宋体" w:cs="宋体"/>
          <w:sz w:val="24"/>
          <w:szCs w:val="24"/>
        </w:rPr>
        <w:t xml:space="preserve">、合同价款与支付</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1、</w:t>
      </w:r>
      <w:r>
        <w:rPr>
          <w:rFonts w:hint="eastAsia" w:ascii="宋体" w:hAnsi="宋体" w:eastAsia="宋体" w:cs="宋体"/>
          <w:b w:val="0"/>
          <w:bCs w:val="0"/>
          <w:sz w:val="24"/>
          <w:szCs w:val="24"/>
          <w:highlight w:val="none"/>
          <w:lang w:eastAsia="zh-CN"/>
        </w:rPr>
        <w:t xml:space="preserve">合同签订后预付合同总额的40%</w:t>
      </w:r>
      <w:r>
        <w:rPr>
          <w:rFonts w:hint="eastAsia"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所有设备供货安装调试结束，验收合格后</w:t>
      </w:r>
      <w:r>
        <w:rPr>
          <w:rFonts w:hint="eastAsia" w:cs="宋体"/>
          <w:b w:val="0"/>
          <w:bCs w:val="0"/>
          <w:sz w:val="24"/>
          <w:szCs w:val="24"/>
          <w:highlight w:val="none"/>
          <w:lang w:val="en-US" w:eastAsia="zh-CN"/>
        </w:rPr>
        <w:t xml:space="preserve">按</w:t>
      </w:r>
      <w:r>
        <w:rPr>
          <w:rFonts w:hint="eastAsia" w:ascii="宋体" w:hAnsi="宋体" w:eastAsia="宋体" w:cs="宋体"/>
          <w:b w:val="0"/>
          <w:bCs w:val="0"/>
          <w:sz w:val="24"/>
          <w:szCs w:val="24"/>
          <w:highlight w:val="none"/>
          <w:lang w:eastAsia="zh-CN"/>
        </w:rPr>
        <w:t xml:space="preserve">审计结算价款</w:t>
      </w:r>
      <w:r>
        <w:rPr>
          <w:rFonts w:hint="eastAsia" w:cs="宋体"/>
          <w:b w:val="0"/>
          <w:bCs w:val="0"/>
          <w:sz w:val="24"/>
          <w:szCs w:val="24"/>
          <w:highlight w:val="none"/>
          <w:lang w:eastAsia="zh-CN"/>
        </w:rPr>
        <w:t xml:space="preserve">付清</w:t>
      </w:r>
      <w:r>
        <w:rPr>
          <w:rFonts w:hint="eastAsia" w:ascii="宋体" w:hAnsi="宋体" w:eastAsia="宋体" w:cs="宋体"/>
          <w:b w:val="0"/>
          <w:bCs w:val="0"/>
          <w:sz w:val="24"/>
          <w:szCs w:val="24"/>
          <w:highlight w:val="none"/>
          <w:lang w:eastAsia="zh-CN"/>
        </w:rPr>
        <w:t xml:space="preserve">（不含利息）</w:t>
      </w:r>
      <w:r>
        <w:rPr>
          <w:rFonts w:hint="eastAsia" w:ascii="宋体" w:hAnsi="宋体" w:eastAsia="宋体" w:cs="宋体"/>
          <w:b w:val="0"/>
          <w:bCs w:val="0"/>
          <w:sz w:val="24"/>
          <w:szCs w:val="24"/>
          <w:highlight w:val="none"/>
        </w:rPr>
        <w:t xml:space="preserve">（甲方支付款项前，乙方须按甲方要求出具等额的真实发票）。</w:t>
      </w:r>
      <w:r>
        <w:rPr>
          <w:rFonts w:hint="eastAsia" w:ascii="宋体" w:hAnsi="宋体" w:eastAsia="宋体" w:cs="宋体"/>
          <w:sz w:val="24"/>
          <w:szCs w:val="24"/>
        </w:rPr>
        <w:t xml:space="preserve">结算方式：本项目采用“固定单价”合同，合同实施过程中中标综合单价不作调整。</w:t>
      </w:r>
      <w:r>
        <w:rPr>
          <w:rFonts w:hint="eastAsia" w:ascii="宋体" w:hAnsi="宋体" w:eastAsia="宋体" w:cs="宋体"/>
          <w:sz w:val="24"/>
          <w:szCs w:val="24"/>
        </w:rPr>
        <w:br/>
      </w:r>
      <w:r>
        <w:rPr>
          <w:rFonts w:hint="eastAsia" w:ascii="宋体" w:hAnsi="宋体" w:eastAsia="宋体" w:cs="宋体"/>
          <w:sz w:val="24"/>
          <w:szCs w:val="24"/>
        </w:rPr>
        <w:t xml:space="preserve">（1）投标报价按货物采购清单报价，采用全费用综合单价法报价。投标报价应是</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所确定发包范围内的全部内容的价格体现。投标全费用综合单价应包括</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所确定的发包范围内的全部内容以及为完成上述内容所必须的货物、材料、劳务、机械、设备、生产制造、采购、管理、运输、装卸、材料设备自检、缺陷修补、利润、税金、政策性文件规定、市场风险以及合同明示或暗示的所有责任、义务和一般风险等所需的全部费用，还包括为完成本项目可能发生的和投标人认为需要的一切费用。</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（2）、本次报价中必须包含运费、基础、安装、税金等一切费用。此费用包含在投标报价中，不单独列项。</w:t>
      </w:r>
      <w:r/>
    </w:p>
    <w:p>
      <w:pPr>
        <w:ind w:firstLine="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九</w:t>
      </w:r>
      <w:r>
        <w:rPr>
          <w:rFonts w:hint="eastAsia" w:ascii="宋体" w:hAnsi="宋体" w:eastAsia="宋体" w:cs="宋体"/>
          <w:sz w:val="24"/>
          <w:szCs w:val="24"/>
        </w:rPr>
        <w:t xml:space="preserve">、税费</w:t>
      </w:r>
      <w:r>
        <w:rPr>
          <w:rFonts w:hint="eastAsia" w:ascii="宋体" w:hAnsi="宋体" w:eastAsia="宋体" w:cs="宋体"/>
          <w:sz w:val="24"/>
          <w:szCs w:val="24"/>
        </w:rPr>
        <w:br/>
      </w:r>
      <w:r>
        <w:rPr>
          <w:rFonts w:hint="eastAsia" w:ascii="宋体" w:hAnsi="宋体" w:eastAsia="宋体" w:cs="宋体"/>
          <w:sz w:val="24"/>
          <w:szCs w:val="24"/>
        </w:rPr>
        <w:t xml:space="preserve">本合同执行中相关的一切税费均由乙方负担。</w:t>
      </w:r>
      <w:r>
        <w:rPr>
          <w:rFonts w:hint="eastAsia" w:ascii="宋体" w:hAnsi="宋体" w:eastAsia="宋体" w:cs="宋体"/>
          <w:sz w:val="24"/>
          <w:szCs w:val="24"/>
        </w:rPr>
        <w:br/>
      </w:r>
      <w:r>
        <w:rPr>
          <w:rFonts w:hint="eastAsia" w:ascii="宋体" w:hAnsi="宋体" w:eastAsia="宋体" w:cs="宋体"/>
          <w:sz w:val="24"/>
          <w:szCs w:val="24"/>
        </w:rPr>
        <w:t xml:space="preserve">十、质量保证及售后服务</w:t>
      </w:r>
      <w:r>
        <w:rPr>
          <w:rFonts w:hint="eastAsia" w:ascii="宋体" w:hAnsi="宋体" w:eastAsia="宋体" w:cs="宋体"/>
          <w:sz w:val="24"/>
          <w:szCs w:val="24"/>
        </w:rPr>
        <w:br/>
      </w:r>
      <w:r>
        <w:rPr>
          <w:rFonts w:hint="eastAsia" w:ascii="宋体" w:hAnsi="宋体" w:eastAsia="宋体" w:cs="宋体"/>
          <w:sz w:val="24"/>
          <w:szCs w:val="24"/>
        </w:rPr>
        <w:t xml:space="preserve">1、乙方负责提供本项目范围内所使用的所有货物设备、材料、装置的原产地证明、质保、售后文件和相应的等级标准证明并承诺向甲方提供有关制造业的质保证明。</w:t>
      </w:r>
      <w:r/>
    </w:p>
    <w:p>
      <w:pP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乙方应保证货物是全新、未使用过的，是用一流的工艺和最佳材料制造的、合法渠道进货的正宗、原装合格正品，并完全符合合同规定的质量、规格和性能的要求。乙方应保证其货物在正确安装、正常使用和保养条件下，在其使用寿命期内应具有满意的性能。货物最终验收后，在质量保证期内，乙方应对由于设计、工艺或材料的缺陷而发生的任何不足或故障负责，费用由乙方负担。</w:t>
      </w:r>
      <w:r>
        <w:rPr>
          <w:rFonts w:hint="eastAsia" w:ascii="宋体" w:hAnsi="宋体" w:eastAsia="宋体" w:cs="宋体"/>
          <w:sz w:val="24"/>
          <w:szCs w:val="24"/>
        </w:rPr>
        <w:br/>
      </w:r>
      <w:r>
        <w:rPr>
          <w:rFonts w:hint="eastAsia" w:ascii="宋体" w:hAnsi="宋体" w:eastAsia="宋体" w:cs="宋体"/>
          <w:sz w:val="24"/>
          <w:szCs w:val="24"/>
        </w:rPr>
        <w:t xml:space="preserve">3、在质量保证期内，如果货物的数量、质量或规格与合同及发包需求不符，或证明货物是有缺陷的，包括潜在的缺陷或使用不符合要求的材料等，甲方以书面形式向乙方提出维修、更换和索赔。</w:t>
      </w:r>
      <w:r>
        <w:rPr>
          <w:rFonts w:hint="eastAsia" w:ascii="宋体" w:hAnsi="宋体" w:eastAsia="宋体" w:cs="宋体"/>
          <w:sz w:val="24"/>
          <w:szCs w:val="24"/>
        </w:rPr>
        <w:br/>
      </w:r>
      <w:r>
        <w:rPr>
          <w:rFonts w:hint="eastAsia" w:ascii="宋体" w:hAnsi="宋体" w:eastAsia="宋体" w:cs="宋体"/>
          <w:sz w:val="24"/>
          <w:szCs w:val="24"/>
        </w:rPr>
        <w:t xml:space="preserve">4、乙方在收到通知后，应在合同中所附服务承诺约定的时间内必须主动协助甲方对设备免费维修、更换有缺陷的货物或部件。</w:t>
      </w:r>
      <w:r>
        <w:rPr>
          <w:rFonts w:hint="eastAsia" w:ascii="宋体" w:hAnsi="宋体" w:eastAsia="宋体" w:cs="宋体"/>
          <w:sz w:val="24"/>
          <w:szCs w:val="24"/>
        </w:rPr>
        <w:br/>
      </w:r>
      <w:r>
        <w:rPr>
          <w:rFonts w:hint="eastAsia" w:ascii="宋体" w:hAnsi="宋体" w:eastAsia="宋体" w:cs="宋体"/>
          <w:sz w:val="24"/>
          <w:szCs w:val="24"/>
        </w:rPr>
        <w:t xml:space="preserve">5、如果乙方在收到通知后，在合同中所附服务承诺约定的时间内没有弥补缺陷，甲方可采取必要的补救措施，但风险和费用将由乙方承担。</w:t>
      </w:r>
      <w:r>
        <w:rPr>
          <w:rFonts w:hint="eastAsia" w:ascii="宋体" w:hAnsi="宋体" w:eastAsia="宋体" w:cs="宋体"/>
          <w:sz w:val="24"/>
          <w:szCs w:val="24"/>
        </w:rPr>
        <w:br/>
      </w:r>
      <w:r>
        <w:rPr>
          <w:rFonts w:hint="eastAsia" w:ascii="宋体" w:hAnsi="宋体" w:eastAsia="宋体" w:cs="宋体"/>
          <w:sz w:val="24"/>
          <w:szCs w:val="24"/>
        </w:rPr>
        <w:t xml:space="preserve">6、在质保期内，乙方应对货物出现的质量及安全问题负责处理解决并承担一切费用。</w:t>
      </w:r>
      <w:r>
        <w:rPr>
          <w:rFonts w:hint="eastAsia" w:ascii="宋体" w:hAnsi="宋体" w:eastAsia="宋体" w:cs="宋体"/>
          <w:sz w:val="24"/>
          <w:szCs w:val="24"/>
        </w:rPr>
        <w:br/>
      </w:r>
      <w:r>
        <w:rPr>
          <w:rFonts w:hint="eastAsia" w:ascii="宋体" w:hAnsi="宋体" w:eastAsia="宋体" w:cs="宋体"/>
          <w:sz w:val="24"/>
          <w:szCs w:val="24"/>
        </w:rPr>
        <w:t xml:space="preserve">7、质量保证及售后服务要求：</w:t>
      </w:r>
      <w:r>
        <w:rPr>
          <w:rFonts w:hint="eastAsia" w:ascii="宋体" w:hAnsi="宋体" w:eastAsia="宋体" w:cs="宋体"/>
          <w:sz w:val="24"/>
          <w:szCs w:val="24"/>
          <w:highlight w:val="none"/>
        </w:rPr>
        <w:t xml:space="preserve">本项目质保期为</w:t>
      </w:r>
      <w:r>
        <w:rPr>
          <w:rFonts w:hint="eastAsia" w:ascii="宋体" w:hAnsi="宋体" w:eastAsia="宋体" w:cs="宋体"/>
          <w:sz w:val="24"/>
          <w:szCs w:val="24"/>
          <w:highlight w:val="none"/>
          <w:lang w:eastAsia="zh-CN"/>
        </w:rPr>
        <w:t xml:space="preserve">2年</w:t>
      </w:r>
      <w:r>
        <w:rPr>
          <w:rFonts w:hint="eastAsia" w:ascii="宋体" w:hAnsi="宋体" w:eastAsia="宋体" w:cs="宋体"/>
          <w:sz w:val="24"/>
          <w:szCs w:val="24"/>
          <w:highlight w:val="none"/>
        </w:rPr>
        <w:t xml:space="preserve"> </w:t>
      </w:r>
      <w:r>
        <w:rPr>
          <w:rFonts w:hint="eastAsia" w:ascii="宋体" w:hAnsi="宋体" w:eastAsia="宋体" w:cs="宋体"/>
          <w:sz w:val="24"/>
          <w:szCs w:val="24"/>
        </w:rPr>
        <w:t xml:space="preserve">，对所建设的项目在质保期内提供技术支持、备品备件及维保服务。</w:t>
      </w:r>
      <w:r>
        <w:rPr>
          <w:rFonts w:hint="eastAsia" w:ascii="宋体" w:hAnsi="宋体" w:eastAsia="宋体" w:cs="宋体"/>
          <w:sz w:val="24"/>
          <w:szCs w:val="24"/>
          <w:lang w:eastAsia="zh-CN"/>
        </w:rPr>
        <w:t xml:space="preserve">（具体质保期按照供应商投标时承诺为准）</w:t>
      </w:r>
      <w:r/>
    </w:p>
    <w:p>
      <w:pP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、售后服务计划：</w:t>
      </w:r>
      <w:r>
        <w:rPr>
          <w:rFonts w:hint="eastAsia" w:ascii="宋体" w:hAnsi="宋体" w:eastAsia="宋体" w:cs="宋体"/>
          <w:sz w:val="24"/>
          <w:szCs w:val="24"/>
        </w:rPr>
        <w:br/>
      </w:r>
      <w:r>
        <w:rPr>
          <w:rFonts w:hint="eastAsia" w:ascii="宋体" w:hAnsi="宋体" w:eastAsia="宋体" w:cs="宋体"/>
          <w:sz w:val="24"/>
          <w:szCs w:val="24"/>
        </w:rPr>
        <w:t xml:space="preserve">售后服务机构地址： </w:t>
      </w:r>
      <w:r>
        <w:rPr>
          <w:rFonts w:hint="eastAsia" w:ascii="宋体" w:hAnsi="宋体" w:eastAsia="宋体" w:cs="宋体"/>
          <w:sz w:val="24"/>
          <w:szCs w:val="24"/>
        </w:rPr>
        <w:br/>
      </w:r>
      <w:r>
        <w:rPr>
          <w:rFonts w:hint="eastAsia" w:ascii="宋体" w:hAnsi="宋体" w:eastAsia="宋体" w:cs="宋体"/>
          <w:sz w:val="24"/>
          <w:szCs w:val="24"/>
        </w:rPr>
        <w:t xml:space="preserve">联系电话： </w:t>
      </w:r>
      <w:r>
        <w:rPr>
          <w:rFonts w:hint="eastAsia" w:ascii="宋体" w:hAnsi="宋体" w:eastAsia="宋体" w:cs="宋体"/>
          <w:sz w:val="24"/>
          <w:szCs w:val="24"/>
        </w:rPr>
        <w:br/>
      </w:r>
      <w:r>
        <w:rPr>
          <w:rFonts w:hint="eastAsia" w:ascii="宋体" w:hAnsi="宋体" w:eastAsia="宋体" w:cs="宋体"/>
          <w:sz w:val="24"/>
          <w:szCs w:val="24"/>
        </w:rPr>
        <w:t xml:space="preserve">其他服务承诺： </w:t>
      </w:r>
      <w:r>
        <w:rPr>
          <w:rFonts w:hint="eastAsia" w:ascii="宋体" w:hAnsi="宋体" w:eastAsia="宋体" w:cs="宋体"/>
          <w:sz w:val="24"/>
          <w:szCs w:val="24"/>
        </w:rPr>
        <w:br/>
      </w: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、调试和验收</w:t>
      </w:r>
      <w:r>
        <w:rPr>
          <w:rFonts w:hint="eastAsia" w:ascii="宋体" w:hAnsi="宋体" w:eastAsia="宋体" w:cs="宋体"/>
          <w:sz w:val="24"/>
          <w:szCs w:val="24"/>
        </w:rPr>
        <w:br/>
      </w:r>
      <w:r>
        <w:rPr>
          <w:rFonts w:hint="eastAsia" w:ascii="宋体" w:hAnsi="宋体" w:eastAsia="宋体" w:cs="宋体"/>
          <w:sz w:val="24"/>
          <w:szCs w:val="24"/>
        </w:rPr>
        <w:t xml:space="preserve">1、本项目在使用前进行调试时，乙方需负责安装并培训</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的使用操作人员，并协助</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一起调试，直到符合技术要求，</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才做最终验收。</w:t>
      </w:r>
      <w:r>
        <w:rPr>
          <w:rFonts w:hint="eastAsia" w:ascii="宋体" w:hAnsi="宋体" w:eastAsia="宋体" w:cs="宋体"/>
          <w:sz w:val="24"/>
          <w:szCs w:val="24"/>
        </w:rPr>
        <w:br/>
      </w:r>
      <w:r>
        <w:rPr>
          <w:rFonts w:hint="eastAsia" w:ascii="宋体" w:hAnsi="宋体" w:eastAsia="宋体" w:cs="宋体"/>
          <w:sz w:val="24"/>
          <w:szCs w:val="24"/>
        </w:rPr>
        <w:t xml:space="preserve">2、乙方在安装调试过程中必须确保安全，乙方自行承担设备安装调试过程中的质量、任何状况下的安全责任，发生的一切问题和责任与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无关，相关一切费用或民事、刑事责任均由乙方自理。若乙方不能及时处理所发生的问题和责任，并且影响到系统总体进度时，</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有权处理相关事务，所发生的费用在支付合同款时扣除。</w:t>
      </w:r>
      <w:r>
        <w:rPr>
          <w:rFonts w:hint="eastAsia" w:ascii="宋体" w:hAnsi="宋体" w:eastAsia="宋体" w:cs="宋体"/>
          <w:sz w:val="24"/>
          <w:szCs w:val="24"/>
        </w:rPr>
        <w:br/>
      </w:r>
      <w:r>
        <w:rPr>
          <w:rFonts w:hint="eastAsia" w:ascii="宋体" w:hAnsi="宋体" w:eastAsia="宋体" w:cs="宋体"/>
          <w:sz w:val="24"/>
          <w:szCs w:val="24"/>
        </w:rPr>
        <w:t xml:space="preserve">3、本项目涉及验收标准包括但不限于公安部门、行业部门有关标准规范。</w:t>
      </w:r>
      <w:r>
        <w:rPr>
          <w:rFonts w:hint="eastAsia" w:ascii="宋体" w:hAnsi="宋体" w:eastAsia="宋体" w:cs="宋体"/>
          <w:sz w:val="24"/>
          <w:szCs w:val="24"/>
        </w:rPr>
        <w:br/>
      </w: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二</w:t>
      </w:r>
      <w:r>
        <w:rPr>
          <w:rFonts w:hint="eastAsia" w:ascii="宋体" w:hAnsi="宋体" w:eastAsia="宋体" w:cs="宋体"/>
          <w:sz w:val="24"/>
          <w:szCs w:val="24"/>
        </w:rPr>
        <w:t xml:space="preserve">、货物包装、发运及运输</w:t>
      </w:r>
      <w:r>
        <w:rPr>
          <w:rFonts w:hint="eastAsia" w:ascii="宋体" w:hAnsi="宋体" w:eastAsia="宋体" w:cs="宋体"/>
          <w:sz w:val="24"/>
          <w:szCs w:val="24"/>
        </w:rPr>
        <w:br/>
      </w:r>
      <w:r>
        <w:rPr>
          <w:rFonts w:hint="eastAsia" w:ascii="宋体" w:hAnsi="宋体" w:eastAsia="宋体" w:cs="宋体"/>
          <w:sz w:val="24"/>
          <w:szCs w:val="24"/>
        </w:rPr>
        <w:t xml:space="preserve">1. 乙方应在货物发运前对其进行满足运输距离、防潮、防震、防锈和防破损装卸等要求包装，以保证货物安全运达</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指定地点。</w:t>
      </w:r>
      <w:r>
        <w:rPr>
          <w:rFonts w:hint="eastAsia" w:ascii="宋体" w:hAnsi="宋体" w:eastAsia="宋体" w:cs="宋体"/>
          <w:sz w:val="24"/>
          <w:szCs w:val="24"/>
        </w:rPr>
        <w:br/>
      </w:r>
      <w:r>
        <w:rPr>
          <w:rFonts w:hint="eastAsia" w:ascii="宋体" w:hAnsi="宋体" w:eastAsia="宋体" w:cs="宋体"/>
          <w:sz w:val="24"/>
          <w:szCs w:val="24"/>
        </w:rPr>
        <w:t xml:space="preserve">2. 使用说明书、质量检验证明书、随配附件和工具、质量合格凭证及装箱清单一并附于货物内，安装调试完毕后按设备清单逐一按序交付给</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w:t>
      </w:r>
      <w:r>
        <w:rPr>
          <w:rFonts w:hint="eastAsia" w:ascii="宋体" w:hAnsi="宋体" w:eastAsia="宋体" w:cs="宋体"/>
          <w:sz w:val="24"/>
          <w:szCs w:val="24"/>
        </w:rPr>
        <w:br/>
      </w:r>
      <w:r>
        <w:rPr>
          <w:rFonts w:hint="eastAsia" w:ascii="宋体" w:hAnsi="宋体" w:eastAsia="宋体" w:cs="宋体"/>
          <w:sz w:val="24"/>
          <w:szCs w:val="24"/>
        </w:rPr>
        <w:t xml:space="preserve">3. 所供货物必须首先符合有关国家强制性规定、国家（行业）标准或相关法律法规要求，同时满足</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的质量要求和使用需求。供方应提供全新未拆封产品（包括零部件、附件、备品备件），如确需拆封的，应在供货前征得采购人同意，否则视为不能交货。供方保证全部按照合同规定的时间和方式向需方提供货物和服务，并负责可能的弥补缺陷。</w:t>
      </w:r>
      <w:r>
        <w:rPr>
          <w:rFonts w:hint="eastAsia" w:ascii="宋体" w:hAnsi="宋体" w:eastAsia="宋体" w:cs="宋体"/>
          <w:sz w:val="24"/>
          <w:szCs w:val="24"/>
        </w:rPr>
        <w:br/>
      </w:r>
      <w:r>
        <w:rPr>
          <w:rFonts w:hint="eastAsia" w:ascii="宋体" w:hAnsi="宋体" w:eastAsia="宋体" w:cs="宋体"/>
          <w:sz w:val="24"/>
          <w:szCs w:val="24"/>
        </w:rPr>
        <w:t xml:space="preserve">4. 货物在交付甲方前发生的风险均由乙方负责。</w:t>
      </w:r>
      <w:r>
        <w:rPr>
          <w:rFonts w:hint="eastAsia" w:ascii="宋体" w:hAnsi="宋体" w:eastAsia="宋体" w:cs="宋体"/>
          <w:sz w:val="24"/>
          <w:szCs w:val="24"/>
        </w:rPr>
        <w:br/>
      </w: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三</w:t>
      </w:r>
      <w:r>
        <w:rPr>
          <w:rFonts w:hint="eastAsia" w:ascii="宋体" w:hAnsi="宋体" w:eastAsia="宋体" w:cs="宋体"/>
          <w:sz w:val="24"/>
          <w:szCs w:val="24"/>
        </w:rPr>
        <w:t xml:space="preserve">、违约责任</w:t>
      </w:r>
      <w:r>
        <w:rPr>
          <w:rFonts w:hint="eastAsia" w:ascii="宋体" w:hAnsi="宋体" w:eastAsia="宋体" w:cs="宋体"/>
          <w:sz w:val="24"/>
          <w:szCs w:val="24"/>
        </w:rPr>
        <w:br/>
      </w:r>
      <w:r>
        <w:rPr>
          <w:rFonts w:hint="eastAsia" w:ascii="宋体" w:hAnsi="宋体" w:eastAsia="宋体" w:cs="宋体"/>
          <w:sz w:val="24"/>
          <w:szCs w:val="24"/>
        </w:rPr>
        <w:t xml:space="preserve">1、完成时间：乙方应在投标文件承诺完成期限前完成全部工作内容，并经相关部门验收合格，不能按期完成的，采购人保留索赔的权利。</w:t>
      </w:r>
      <w:r>
        <w:rPr>
          <w:rFonts w:hint="eastAsia" w:ascii="宋体" w:hAnsi="宋体" w:eastAsia="宋体" w:cs="宋体"/>
          <w:sz w:val="24"/>
          <w:szCs w:val="24"/>
        </w:rPr>
        <w:br/>
      </w:r>
      <w:r>
        <w:rPr>
          <w:rFonts w:hint="eastAsia" w:ascii="宋体" w:hAnsi="宋体" w:eastAsia="宋体" w:cs="宋体"/>
          <w:sz w:val="24"/>
          <w:szCs w:val="24"/>
        </w:rPr>
        <w:t xml:space="preserve">2、项目实施过程中，如果达不到承诺质量目标，无法满足甲方的使用需求，乙方必须无偿整改达到承诺质量目标，另按合同价款的5%向</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支付违约金。由此造成的时间延误将不予顺延，给甲方造成实际损失的还将承担经济赔偿责任。</w:t>
      </w:r>
      <w:r>
        <w:rPr>
          <w:rFonts w:hint="eastAsia" w:ascii="宋体" w:hAnsi="宋体" w:eastAsia="宋体" w:cs="宋体"/>
          <w:sz w:val="24"/>
          <w:szCs w:val="24"/>
        </w:rPr>
        <w:br/>
      </w: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四</w:t>
      </w:r>
      <w:r>
        <w:rPr>
          <w:rFonts w:hint="eastAsia" w:ascii="宋体" w:hAnsi="宋体" w:eastAsia="宋体" w:cs="宋体"/>
          <w:sz w:val="24"/>
          <w:szCs w:val="24"/>
        </w:rPr>
        <w:t xml:space="preserve">、不可抗力事件处理</w:t>
      </w:r>
      <w:r>
        <w:rPr>
          <w:rFonts w:hint="eastAsia" w:ascii="宋体" w:hAnsi="宋体" w:eastAsia="宋体" w:cs="宋体"/>
          <w:sz w:val="24"/>
          <w:szCs w:val="24"/>
        </w:rPr>
        <w:br/>
      </w:r>
      <w:r>
        <w:rPr>
          <w:rFonts w:hint="eastAsia" w:ascii="宋体" w:hAnsi="宋体" w:eastAsia="宋体" w:cs="宋体"/>
          <w:sz w:val="24"/>
          <w:szCs w:val="24"/>
        </w:rPr>
        <w:t xml:space="preserve">1. 在合同有效期内，任何一方因不可抗力事件导致不能履行合同，则合同履行期可延长，其延长期与不可抗力影响期相同。</w:t>
      </w:r>
      <w:r>
        <w:rPr>
          <w:rFonts w:hint="eastAsia" w:ascii="宋体" w:hAnsi="宋体" w:eastAsia="宋体" w:cs="宋体"/>
          <w:sz w:val="24"/>
          <w:szCs w:val="24"/>
        </w:rPr>
        <w:br/>
      </w:r>
      <w:r>
        <w:rPr>
          <w:rFonts w:hint="eastAsia" w:ascii="宋体" w:hAnsi="宋体" w:eastAsia="宋体" w:cs="宋体"/>
          <w:sz w:val="24"/>
          <w:szCs w:val="24"/>
        </w:rPr>
        <w:t xml:space="preserve">2. 不可抗力事件发生后，应立即通知对方，并寄送有关权威机构出具的证明。</w:t>
      </w:r>
      <w:r>
        <w:rPr>
          <w:rFonts w:hint="eastAsia" w:ascii="宋体" w:hAnsi="宋体" w:eastAsia="宋体" w:cs="宋体"/>
          <w:sz w:val="24"/>
          <w:szCs w:val="24"/>
        </w:rPr>
        <w:br/>
      </w:r>
      <w:r>
        <w:rPr>
          <w:rFonts w:hint="eastAsia" w:ascii="宋体" w:hAnsi="宋体" w:eastAsia="宋体" w:cs="宋体"/>
          <w:sz w:val="24"/>
          <w:szCs w:val="24"/>
        </w:rPr>
        <w:t xml:space="preserve">3. 不可抗力事件延续120天以上，双方应通过友好协商，确定是否继续履行合同。</w:t>
      </w:r>
      <w:r>
        <w:rPr>
          <w:rFonts w:hint="eastAsia" w:ascii="宋体" w:hAnsi="宋体" w:eastAsia="宋体" w:cs="宋体"/>
          <w:sz w:val="24"/>
          <w:szCs w:val="24"/>
        </w:rPr>
        <w:br/>
      </w: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五</w:t>
      </w:r>
      <w:r>
        <w:rPr>
          <w:rFonts w:hint="eastAsia" w:ascii="宋体" w:hAnsi="宋体" w:eastAsia="宋体" w:cs="宋体"/>
          <w:sz w:val="24"/>
          <w:szCs w:val="24"/>
        </w:rPr>
        <w:t xml:space="preserve">、仲裁与诉讼</w:t>
      </w:r>
      <w:r>
        <w:rPr>
          <w:rFonts w:hint="eastAsia" w:ascii="宋体" w:hAnsi="宋体" w:eastAsia="宋体" w:cs="宋体"/>
          <w:sz w:val="24"/>
          <w:szCs w:val="24"/>
        </w:rPr>
        <w:br/>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双方在执行合同中所发生的一切争议，应通过协商解决。如协商不成，可申请向项目所在地人民法院起诉。</w:t>
      </w:r>
      <w:r>
        <w:rPr>
          <w:rFonts w:hint="eastAsia" w:ascii="宋体" w:hAnsi="宋体" w:eastAsia="宋体" w:cs="宋体"/>
          <w:sz w:val="24"/>
          <w:szCs w:val="24"/>
        </w:rPr>
        <w:br/>
      </w: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六</w:t>
      </w:r>
      <w:r>
        <w:rPr>
          <w:rFonts w:hint="eastAsia" w:ascii="宋体" w:hAnsi="宋体" w:eastAsia="宋体" w:cs="宋体"/>
          <w:sz w:val="24"/>
          <w:szCs w:val="24"/>
        </w:rPr>
        <w:t xml:space="preserve">、合同附则</w:t>
      </w:r>
      <w:r>
        <w:rPr>
          <w:rFonts w:hint="eastAsia" w:ascii="宋体" w:hAnsi="宋体" w:eastAsia="宋体" w:cs="宋体"/>
          <w:sz w:val="24"/>
          <w:szCs w:val="24"/>
        </w:rPr>
        <w:br/>
      </w: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乙方所提供货物、设备、及服务及必须满足所有功能要求，乙方有责任保证采购人系统的功能性和完整性，未在</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中明示的设备及附配件，乙方在投标报价时已予以考虑，如项目实施过程中因缺少设备、配件或服务导致采购人系统无法正常运行，乙方须承诺免费提供；除采购人明确提出的变更外，本项目不再增加任何费用；</w:t>
      </w:r>
      <w:r>
        <w:rPr>
          <w:rFonts w:hint="eastAsia" w:ascii="宋体" w:hAnsi="宋体" w:eastAsia="宋体" w:cs="宋体"/>
          <w:sz w:val="24"/>
          <w:szCs w:val="24"/>
        </w:rPr>
        <w:br/>
      </w: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乙方须保证所提供硬件设备和货物产品包括相关附件为相应厂商的原装正品。</w:t>
      </w:r>
      <w:r>
        <w:rPr>
          <w:rFonts w:hint="eastAsia" w:ascii="宋体" w:hAnsi="宋体" w:eastAsia="宋体" w:cs="宋体"/>
          <w:sz w:val="24"/>
          <w:szCs w:val="24"/>
        </w:rPr>
        <w:br/>
      </w: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乙方与原厂商共同负责硬件设备安装、货物安装及调试与验收，提供详细的安装调试方案，并提交采购人认可方可实施。</w:t>
      </w:r>
      <w:r>
        <w:rPr>
          <w:rFonts w:hint="eastAsia" w:ascii="宋体" w:hAnsi="宋体" w:eastAsia="宋体" w:cs="宋体"/>
          <w:sz w:val="24"/>
          <w:szCs w:val="24"/>
        </w:rPr>
        <w:br/>
      </w:r>
      <w:r>
        <w:rPr>
          <w:rFonts w:hint="eastAsia" w:ascii="宋体" w:hAnsi="宋体" w:eastAsia="宋体" w:cs="宋体"/>
          <w:sz w:val="24"/>
          <w:szCs w:val="24"/>
        </w:rPr>
        <w:t xml:space="preserve">设备安装、调试所需的工具、仪表及安装材料由乙方自行解决。施工过</w:t>
      </w:r>
      <w:r>
        <w:rPr>
          <w:rFonts w:hint="eastAsia" w:ascii="宋体" w:hAnsi="宋体" w:eastAsia="宋体" w:cs="宋体"/>
          <w:sz w:val="24"/>
          <w:szCs w:val="24"/>
          <w:lang w:eastAsia="zh-CN"/>
        </w:rPr>
        <w:t xml:space="preserve">程中</w:t>
      </w:r>
      <w:r>
        <w:rPr>
          <w:rFonts w:hint="eastAsia" w:ascii="宋体" w:hAnsi="宋体" w:eastAsia="宋体" w:cs="宋体"/>
          <w:sz w:val="24"/>
          <w:szCs w:val="24"/>
        </w:rPr>
        <w:t xml:space="preserve">应严格执行相关的强弱电施工规范，并保证施工安全。</w:t>
      </w:r>
      <w:r>
        <w:rPr>
          <w:rFonts w:hint="eastAsia" w:ascii="宋体" w:hAnsi="宋体" w:eastAsia="宋体" w:cs="宋体"/>
          <w:sz w:val="24"/>
          <w:szCs w:val="24"/>
        </w:rPr>
        <w:br/>
      </w:r>
      <w:r>
        <w:rPr>
          <w:rFonts w:hint="eastAsia" w:ascii="宋体" w:hAnsi="宋体" w:eastAsia="宋体" w:cs="宋体"/>
          <w:sz w:val="24"/>
          <w:szCs w:val="24"/>
        </w:rPr>
        <w:t xml:space="preserve">设备安装、调测的主要目标是使整个系统能够连通并具有可操作性、所有设备能够接通并正常运转，乙方必须响应下列安装、调测要求：</w:t>
      </w:r>
      <w:r>
        <w:rPr>
          <w:rFonts w:hint="eastAsia" w:ascii="宋体" w:hAnsi="宋体" w:eastAsia="宋体" w:cs="宋体"/>
          <w:sz w:val="24"/>
          <w:szCs w:val="24"/>
        </w:rPr>
        <w:br/>
      </w:r>
      <w:r>
        <w:rPr>
          <w:rFonts w:hint="eastAsia" w:ascii="宋体" w:hAnsi="宋体" w:eastAsia="宋体" w:cs="宋体"/>
          <w:sz w:val="24"/>
          <w:szCs w:val="24"/>
        </w:rPr>
        <w:t xml:space="preserve">（1）安装、调试要求按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执行。</w:t>
      </w:r>
      <w:r>
        <w:rPr>
          <w:rFonts w:hint="eastAsia" w:ascii="宋体" w:hAnsi="宋体" w:eastAsia="宋体" w:cs="宋体"/>
          <w:sz w:val="24"/>
          <w:szCs w:val="24"/>
        </w:rPr>
        <w:br/>
      </w:r>
      <w:r>
        <w:rPr>
          <w:rFonts w:hint="eastAsia" w:ascii="宋体" w:hAnsi="宋体" w:eastAsia="宋体" w:cs="宋体"/>
          <w:sz w:val="24"/>
          <w:szCs w:val="24"/>
        </w:rPr>
        <w:t xml:space="preserve">（2）如安装、调测中出现不符合</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和合同要求的严重质量问题时，不能满足使用要求的，采购人保留索赔的权利。</w:t>
      </w:r>
      <w:r>
        <w:rPr>
          <w:rFonts w:hint="eastAsia" w:ascii="宋体" w:hAnsi="宋体" w:eastAsia="宋体" w:cs="宋体"/>
          <w:sz w:val="24"/>
          <w:szCs w:val="24"/>
        </w:rPr>
        <w:br/>
      </w:r>
      <w:r>
        <w:rPr>
          <w:rFonts w:hint="eastAsia" w:ascii="宋体" w:hAnsi="宋体" w:eastAsia="宋体" w:cs="宋体"/>
          <w:sz w:val="24"/>
          <w:szCs w:val="24"/>
        </w:rPr>
        <w:t xml:space="preserve">4、测试和验收</w:t>
      </w:r>
      <w:r>
        <w:rPr>
          <w:rFonts w:hint="eastAsia" w:ascii="宋体" w:hAnsi="宋体" w:eastAsia="宋体" w:cs="宋体"/>
          <w:sz w:val="24"/>
          <w:szCs w:val="24"/>
        </w:rPr>
        <w:br/>
      </w:r>
      <w:r>
        <w:rPr>
          <w:rFonts w:hint="eastAsia" w:ascii="宋体" w:hAnsi="宋体" w:eastAsia="宋体" w:cs="宋体"/>
          <w:sz w:val="24"/>
          <w:szCs w:val="24"/>
        </w:rPr>
        <w:t xml:space="preserve">乙方应向采购方提交测试内容和方法。测试计划和技术内容由乙方拟定，经采购人确认后共同实施。</w:t>
      </w:r>
      <w:r>
        <w:rPr>
          <w:rFonts w:hint="eastAsia" w:ascii="宋体" w:hAnsi="宋体" w:eastAsia="宋体" w:cs="宋体"/>
          <w:sz w:val="24"/>
          <w:szCs w:val="24"/>
        </w:rPr>
        <w:br/>
      </w:r>
      <w:r>
        <w:rPr>
          <w:rFonts w:hint="eastAsia" w:ascii="宋体" w:hAnsi="宋体" w:eastAsia="宋体" w:cs="宋体"/>
          <w:sz w:val="24"/>
          <w:szCs w:val="24"/>
        </w:rPr>
        <w:t xml:space="preserve">5、技术文档要求：</w:t>
      </w:r>
      <w:r>
        <w:rPr>
          <w:rFonts w:hint="eastAsia" w:ascii="宋体" w:hAnsi="宋体" w:eastAsia="宋体" w:cs="宋体"/>
          <w:sz w:val="24"/>
          <w:szCs w:val="24"/>
        </w:rPr>
        <w:br/>
      </w:r>
      <w:r>
        <w:rPr>
          <w:rFonts w:hint="eastAsia" w:ascii="宋体" w:hAnsi="宋体" w:eastAsia="宋体" w:cs="宋体"/>
          <w:sz w:val="24"/>
          <w:szCs w:val="24"/>
        </w:rPr>
        <w:t xml:space="preserve">乙方应向采购人提供安装调试过程中的各种文档资料。</w:t>
      </w:r>
      <w:r>
        <w:rPr>
          <w:rFonts w:hint="eastAsia" w:ascii="宋体" w:hAnsi="宋体" w:eastAsia="宋体" w:cs="宋体"/>
          <w:sz w:val="24"/>
          <w:szCs w:val="24"/>
        </w:rPr>
        <w:br/>
      </w:r>
      <w:r>
        <w:rPr>
          <w:rFonts w:hint="eastAsia" w:ascii="宋体" w:hAnsi="宋体" w:eastAsia="宋体" w:cs="宋体"/>
          <w:sz w:val="24"/>
          <w:szCs w:val="24"/>
        </w:rPr>
        <w:t xml:space="preserve">1)有关产品正确安装与详细配置（包括安装方法、安装步骤及各种配置参数等）资料要以易理解的方式（包括详细说明及图示）形成中文文档，交与采购人。</w:t>
      </w:r>
      <w:r>
        <w:rPr>
          <w:rFonts w:hint="eastAsia" w:ascii="宋体" w:hAnsi="宋体" w:eastAsia="宋体" w:cs="宋体"/>
          <w:sz w:val="24"/>
          <w:szCs w:val="24"/>
        </w:rPr>
        <w:br/>
      </w:r>
      <w:r>
        <w:rPr>
          <w:rFonts w:hint="eastAsia" w:ascii="宋体" w:hAnsi="宋体" w:eastAsia="宋体" w:cs="宋体"/>
          <w:sz w:val="24"/>
          <w:szCs w:val="24"/>
        </w:rPr>
        <w:t xml:space="preserve">2)乙方对本次采购的软、硬件产品提供正式的操作手册和维护手册，提供中文版技术文档。</w:t>
      </w:r>
      <w:r>
        <w:rPr>
          <w:rFonts w:hint="eastAsia" w:ascii="宋体" w:hAnsi="宋体" w:eastAsia="宋体" w:cs="宋体"/>
          <w:sz w:val="24"/>
          <w:szCs w:val="24"/>
        </w:rPr>
        <w:br/>
      </w:r>
      <w:r>
        <w:rPr>
          <w:rFonts w:hint="eastAsia" w:ascii="宋体" w:hAnsi="宋体" w:eastAsia="宋体" w:cs="宋体"/>
          <w:sz w:val="24"/>
          <w:szCs w:val="24"/>
        </w:rPr>
        <w:t xml:space="preserve">3)交货时，技术文档应与货物一起交付。乙方提交的技术文档的内容必须与所提供的产品相一致，应尽可能详细。所提交的技术文档必须是正式出版和装订的，</w:t>
      </w:r>
      <w:r>
        <w:rPr>
          <w:rFonts w:hint="eastAsia" w:ascii="宋体" w:hAnsi="宋体" w:eastAsia="宋体" w:cs="宋体"/>
          <w:sz w:val="24"/>
          <w:szCs w:val="24"/>
          <w:lang w:eastAsia="zh-CN"/>
        </w:rPr>
        <w:t xml:space="preserve">扫描件</w:t>
      </w:r>
      <w:r>
        <w:rPr>
          <w:rFonts w:hint="eastAsia" w:ascii="宋体" w:hAnsi="宋体" w:eastAsia="宋体" w:cs="宋体"/>
          <w:sz w:val="24"/>
          <w:szCs w:val="24"/>
        </w:rPr>
        <w:t xml:space="preserve">无效，其费用应包括在该品目的基本报价中。为了培训的目的，采购人有权复制这些资料而不受限制。</w:t>
      </w:r>
      <w:r>
        <w:rPr>
          <w:rFonts w:hint="eastAsia" w:ascii="宋体" w:hAnsi="宋体" w:eastAsia="宋体" w:cs="宋体"/>
          <w:sz w:val="24"/>
          <w:szCs w:val="24"/>
        </w:rPr>
        <w:br/>
      </w:r>
      <w:r>
        <w:rPr>
          <w:rFonts w:hint="eastAsia" w:ascii="宋体" w:hAnsi="宋体" w:eastAsia="宋体" w:cs="宋体"/>
          <w:sz w:val="24"/>
          <w:szCs w:val="24"/>
        </w:rPr>
        <w:t xml:space="preserve">4)在产品验收后，乙方应将所有技术文档和安装、调试资料移交给采购人。</w:t>
      </w:r>
      <w:r>
        <w:rPr>
          <w:rFonts w:hint="eastAsia" w:ascii="宋体" w:hAnsi="宋体" w:eastAsia="宋体" w:cs="宋体"/>
          <w:sz w:val="24"/>
          <w:szCs w:val="24"/>
        </w:rPr>
        <w:br/>
      </w:r>
      <w:r>
        <w:rPr>
          <w:rFonts w:hint="eastAsia" w:ascii="宋体" w:hAnsi="宋体" w:eastAsia="宋体" w:cs="宋体"/>
          <w:sz w:val="24"/>
          <w:szCs w:val="24"/>
        </w:rPr>
        <w:t xml:space="preserve">包括但不限于以下资料：</w:t>
      </w:r>
      <w:r>
        <w:rPr>
          <w:rFonts w:hint="eastAsia" w:ascii="宋体" w:hAnsi="宋体" w:eastAsia="宋体" w:cs="宋体"/>
          <w:sz w:val="24"/>
          <w:szCs w:val="24"/>
        </w:rPr>
        <w:br/>
      </w:r>
      <w:r>
        <w:rPr>
          <w:rFonts w:hint="eastAsia" w:ascii="宋体" w:hAnsi="宋体" w:eastAsia="宋体" w:cs="宋体"/>
          <w:sz w:val="24"/>
          <w:szCs w:val="24"/>
        </w:rPr>
        <w:t xml:space="preserve">1）对产品各项技术指标的测试报告。</w:t>
      </w:r>
      <w:r>
        <w:rPr>
          <w:rFonts w:hint="eastAsia" w:ascii="宋体" w:hAnsi="宋体" w:eastAsia="宋体" w:cs="宋体"/>
          <w:sz w:val="24"/>
          <w:szCs w:val="24"/>
        </w:rPr>
        <w:br/>
      </w:r>
      <w:r>
        <w:rPr>
          <w:rFonts w:hint="eastAsia" w:ascii="宋体" w:hAnsi="宋体" w:eastAsia="宋体" w:cs="宋体"/>
          <w:sz w:val="24"/>
          <w:szCs w:val="24"/>
        </w:rPr>
        <w:t xml:space="preserve">2）技术文件：设备制造、安装、调试、验收、运行、使用、测试、诊断、日常维护和维修的技术文件。</w:t>
      </w:r>
      <w:r>
        <w:rPr>
          <w:rFonts w:hint="eastAsia" w:ascii="宋体" w:hAnsi="宋体" w:eastAsia="宋体" w:cs="宋体"/>
          <w:sz w:val="24"/>
          <w:szCs w:val="24"/>
        </w:rPr>
        <w:br/>
      </w:r>
      <w:r>
        <w:rPr>
          <w:rFonts w:hint="eastAsia" w:ascii="宋体" w:hAnsi="宋体" w:eastAsia="宋体" w:cs="宋体"/>
          <w:sz w:val="24"/>
          <w:szCs w:val="24"/>
        </w:rPr>
        <w:t xml:space="preserve">3）详细的产品质量文件：包括外形尺寸、性能检验、产品合格证明书、软件原厂商正版授权等文件。</w:t>
      </w:r>
      <w:r>
        <w:rPr>
          <w:rFonts w:hint="eastAsia" w:ascii="宋体" w:hAnsi="宋体" w:eastAsia="宋体" w:cs="宋体"/>
          <w:sz w:val="24"/>
          <w:szCs w:val="24"/>
        </w:rPr>
        <w:br/>
      </w:r>
      <w:r>
        <w:rPr>
          <w:rFonts w:hint="eastAsia" w:ascii="宋体" w:hAnsi="宋体" w:eastAsia="宋体" w:cs="宋体"/>
          <w:sz w:val="24"/>
          <w:szCs w:val="24"/>
        </w:rPr>
        <w:t xml:space="preserve">4）安装计划：至少包括：运输/交货、安装日期、安装测试等。</w:t>
      </w:r>
      <w:r>
        <w:rPr>
          <w:rFonts w:hint="eastAsia" w:ascii="宋体" w:hAnsi="宋体" w:eastAsia="宋体" w:cs="宋体"/>
          <w:sz w:val="24"/>
          <w:szCs w:val="24"/>
        </w:rPr>
        <w:br/>
      </w:r>
      <w:r>
        <w:rPr>
          <w:rFonts w:hint="eastAsia" w:ascii="宋体" w:hAnsi="宋体" w:eastAsia="宋体" w:cs="宋体"/>
          <w:sz w:val="24"/>
          <w:szCs w:val="24"/>
        </w:rPr>
        <w:t xml:space="preserve">5）网络配置计划：包括配置图和配置清单。</w:t>
      </w:r>
      <w:r>
        <w:rPr>
          <w:rFonts w:hint="eastAsia" w:ascii="宋体" w:hAnsi="宋体" w:eastAsia="宋体" w:cs="宋体"/>
          <w:sz w:val="24"/>
          <w:szCs w:val="24"/>
        </w:rPr>
        <w:br/>
      </w:r>
      <w:r>
        <w:rPr>
          <w:rFonts w:hint="eastAsia" w:ascii="宋体" w:hAnsi="宋体" w:eastAsia="宋体" w:cs="宋体"/>
          <w:sz w:val="24"/>
          <w:szCs w:val="24"/>
        </w:rPr>
        <w:t xml:space="preserve">6）安装指南：乙方应当提供所购软件、硬件设备的安装指南。</w:t>
      </w:r>
      <w:r>
        <w:rPr>
          <w:rFonts w:hint="eastAsia" w:ascii="宋体" w:hAnsi="宋体" w:eastAsia="宋体" w:cs="宋体"/>
          <w:sz w:val="24"/>
          <w:szCs w:val="24"/>
        </w:rPr>
        <w:br/>
      </w: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七</w:t>
      </w:r>
      <w:r>
        <w:rPr>
          <w:rFonts w:hint="eastAsia" w:ascii="宋体" w:hAnsi="宋体" w:eastAsia="宋体" w:cs="宋体"/>
          <w:sz w:val="24"/>
          <w:szCs w:val="24"/>
        </w:rPr>
        <w:t xml:space="preserve">、合同生效及其它</w:t>
      </w:r>
      <w:r>
        <w:rPr>
          <w:rFonts w:hint="eastAsia" w:ascii="宋体" w:hAnsi="宋体" w:eastAsia="宋体" w:cs="宋体"/>
          <w:sz w:val="24"/>
          <w:szCs w:val="24"/>
        </w:rPr>
        <w:br/>
      </w:r>
      <w:r>
        <w:rPr>
          <w:rFonts w:hint="eastAsia" w:ascii="宋体" w:hAnsi="宋体" w:eastAsia="宋体" w:cs="宋体"/>
          <w:sz w:val="24"/>
          <w:szCs w:val="24"/>
        </w:rPr>
        <w:t xml:space="preserve">1. 合同经双方加盖单位公章后生效。</w:t>
      </w:r>
      <w:r>
        <w:rPr>
          <w:rFonts w:hint="eastAsia" w:ascii="宋体" w:hAnsi="宋体" w:eastAsia="宋体" w:cs="宋体"/>
          <w:sz w:val="24"/>
          <w:szCs w:val="24"/>
        </w:rPr>
        <w:br/>
      </w:r>
      <w:r>
        <w:rPr>
          <w:rFonts w:hint="eastAsia" w:ascii="宋体" w:hAnsi="宋体" w:eastAsia="宋体" w:cs="宋体"/>
          <w:sz w:val="24"/>
          <w:szCs w:val="24"/>
        </w:rPr>
        <w:t xml:space="preserve">2. 组成本合同的文件包括：本合同协议书；中标通知书；</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及答疑文件；投标书及其附件；各类规</w:t>
      </w:r>
      <w:r>
        <w:rPr>
          <w:rFonts w:hint="eastAsia" w:ascii="宋体" w:hAnsi="宋体" w:eastAsia="宋体" w:cs="宋体"/>
          <w:sz w:val="24"/>
          <w:szCs w:val="24"/>
          <w:lang w:eastAsia="zh-CN"/>
        </w:rPr>
        <w:t xml:space="preserve">范性</w:t>
      </w:r>
      <w:r>
        <w:rPr>
          <w:rFonts w:hint="eastAsia" w:ascii="宋体" w:hAnsi="宋体" w:eastAsia="宋体" w:cs="宋体"/>
          <w:sz w:val="24"/>
          <w:szCs w:val="24"/>
        </w:rPr>
        <w:t xml:space="preserve">文件；双方有关洽商、变更等书面协议或文件。</w:t>
      </w:r>
      <w:r>
        <w:rPr>
          <w:rFonts w:hint="eastAsia" w:ascii="宋体" w:hAnsi="宋体" w:eastAsia="宋体" w:cs="宋体"/>
          <w:sz w:val="24"/>
          <w:szCs w:val="24"/>
        </w:rPr>
        <w:br/>
      </w:r>
      <w:r>
        <w:rPr>
          <w:rFonts w:hint="eastAsia" w:ascii="宋体" w:hAnsi="宋体" w:eastAsia="宋体" w:cs="宋体"/>
          <w:sz w:val="24"/>
          <w:szCs w:val="24"/>
        </w:rPr>
        <w:t xml:space="preserve">3.合同执行中涉及采购资金和采购内容修改或补充的，如有变动，</w:t>
      </w:r>
      <w:r>
        <w:rPr>
          <w:rFonts w:hint="eastAsia" w:ascii="宋体" w:hAnsi="宋体" w:eastAsia="宋体" w:cs="宋体"/>
          <w:sz w:val="24"/>
          <w:szCs w:val="24"/>
          <w:lang w:eastAsia="zh-CN"/>
        </w:rPr>
        <w:t xml:space="preserve">双方自行商讨签订补充协议。</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4.本合同未尽事宜，双方在不违背本合同和</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文件的原则下协商解决，协商结果以书面形式盖章记录在案，作为本合同的附件，与本合同具有同等效力。</w:t>
      </w:r>
      <w:r/>
    </w:p>
    <w:p>
      <w:pPr>
        <w:ind w:firstLine="48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：（盖单位章）</w:t>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                   乙</w:t>
      </w:r>
      <w:r>
        <w:rPr>
          <w:rFonts w:hint="eastAsia" w:ascii="宋体" w:hAnsi="宋体" w:eastAsia="宋体" w:cs="宋体"/>
          <w:sz w:val="24"/>
          <w:szCs w:val="24"/>
        </w:rPr>
        <w:t xml:space="preserve">方：（盖单位章）</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年  月   日                                    年  月   日</w:t>
      </w:r>
      <w:r/>
    </w:p>
    <w:p>
      <w:pPr>
        <w:ind w:left="560" w:hanging="560"/>
        <w:keepLines w:val="0"/>
        <w:keepNext w:val="0"/>
        <w:pageBreakBefore w:val="0"/>
        <w:spacing w:line="240" w:lineRule="auto"/>
        <w:widowControl w:val="off"/>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color w:val="auto"/>
          <w:sz w:val="24"/>
          <w:szCs w:val="24"/>
          <w:lang w:val="zh-CN"/>
        </w:rPr>
      </w:pPr>
      <w:r>
        <w:rPr>
          <w:rFonts w:hint="eastAsia" w:ascii="宋体" w:hAnsi="宋体" w:cs="宋体"/>
          <w:b/>
          <w:bCs/>
          <w:color w:val="auto"/>
          <w:sz w:val="32"/>
          <w:szCs w:val="32"/>
          <w:lang w:eastAsia="zh-CN"/>
        </w:rPr>
        <w:t xml:space="preserve">第五章</w:t>
      </w:r>
      <w:r>
        <w:rPr>
          <w:rFonts w:hint="eastAsia" w:ascii="宋体" w:hAnsi="宋体" w:cs="宋体"/>
          <w:b/>
          <w:bCs/>
          <w:color w:val="auto"/>
          <w:sz w:val="32"/>
          <w:szCs w:val="32"/>
          <w:lang w:val="en-US" w:eastAsia="zh-CN"/>
        </w:rPr>
        <w:t xml:space="preserve"> </w:t>
      </w:r>
      <w:r>
        <w:rPr>
          <w:rFonts w:hint="eastAsia" w:ascii="宋体" w:hAnsi="宋体" w:eastAsia="宋体" w:cs="宋体"/>
          <w:b/>
          <w:bCs/>
          <w:color w:val="auto"/>
          <w:sz w:val="32"/>
          <w:szCs w:val="32"/>
        </w:rPr>
        <w:t xml:space="preserve">项目</w:t>
      </w:r>
      <w:r>
        <w:rPr>
          <w:rFonts w:hint="eastAsia" w:ascii="宋体" w:hAnsi="宋体" w:eastAsia="宋体" w:cs="宋体"/>
          <w:b/>
          <w:color w:val="auto"/>
          <w:sz w:val="32"/>
          <w:szCs w:val="32"/>
        </w:rPr>
        <w:t xml:space="preserve">采购需求</w:t>
      </w:r>
      <w:r/>
    </w:p>
    <w:p>
      <w:pPr>
        <w:jc w:val="left"/>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一、概述</w:t>
      </w:r>
      <w:r/>
    </w:p>
    <w:p>
      <w:pPr>
        <w:jc w:val="left"/>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1.1、建设背景及概况</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本次采购项目是基于对城区主要道路涉及交通参与者的安全出行行为及管控，进一步规  范及优化城区交通通行环境，提高出行通畅率，进一步压降各类交通事故，尤其对事故频发、 高发路段采取物理隔离、标牌告示、智能抓拍多维管控方式，从而有效降低我县整体交通事故发生率，还市民一个良好的安全出行环境。</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在“互联网+”时代，随着交通管理智能化、科技化建设的不断推进，交通科技设施、软件平台逐步健全，系统构成庞杂、功能类型多样，智能交通工作重心逐步由“建”向“管”转变，交通“运管维”工作面临巨大挑战。</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2020年，</w:t>
      </w:r>
      <w:r>
        <w:rPr>
          <w:rFonts w:hint="eastAsia" w:ascii="宋体" w:hAnsi="宋体" w:cs="宋体"/>
          <w:sz w:val="24"/>
          <w:szCs w:val="24"/>
          <w:highlight w:val="none"/>
          <w:lang w:eastAsia="zh-CN"/>
        </w:rPr>
        <w:t xml:space="preserve">公安</w:t>
      </w:r>
      <w:r>
        <w:rPr>
          <w:rFonts w:hint="eastAsia" w:ascii="宋体" w:hAnsi="宋体" w:eastAsia="宋体" w:cs="宋体"/>
          <w:sz w:val="24"/>
          <w:szCs w:val="24"/>
          <w:highlight w:val="none"/>
          <w:lang w:eastAsia="zh-CN"/>
        </w:rPr>
        <w:t xml:space="preserve">部交管局印发《</w:t>
      </w:r>
      <w:r>
        <w:rPr>
          <w:rFonts w:hint="eastAsia" w:ascii="宋体" w:hAnsi="宋体" w:cs="宋体"/>
          <w:sz w:val="24"/>
          <w:szCs w:val="24"/>
          <w:highlight w:val="none"/>
          <w:lang w:eastAsia="zh-CN"/>
        </w:rPr>
        <w:t xml:space="preserve">公安</w:t>
      </w:r>
      <w:r>
        <w:rPr>
          <w:rFonts w:hint="eastAsia" w:ascii="宋体" w:hAnsi="宋体" w:eastAsia="宋体" w:cs="宋体"/>
          <w:sz w:val="24"/>
          <w:szCs w:val="24"/>
          <w:highlight w:val="none"/>
          <w:lang w:eastAsia="zh-CN"/>
        </w:rPr>
        <w:t xml:space="preserve">交通管理科技发展规划(2021-2023年)》，明确要求建成运维管理系统，实现信息系统运行监测、故障处置流程管理、常见问题检索、运维质量评估等功能，同时要求强化路面监控设备运行维护，实现监控设备的全生命周期管理。2020年-2021年，</w:t>
      </w:r>
      <w:r>
        <w:rPr>
          <w:rFonts w:hint="eastAsia" w:ascii="宋体" w:hAnsi="宋体" w:cs="宋体"/>
          <w:sz w:val="24"/>
          <w:szCs w:val="24"/>
          <w:highlight w:val="none"/>
          <w:lang w:eastAsia="zh-CN"/>
        </w:rPr>
        <w:t xml:space="preserve">公安</w:t>
      </w:r>
      <w:r>
        <w:rPr>
          <w:rFonts w:hint="eastAsia" w:ascii="宋体" w:hAnsi="宋体" w:eastAsia="宋体" w:cs="宋体"/>
          <w:sz w:val="24"/>
          <w:szCs w:val="24"/>
          <w:highlight w:val="none"/>
          <w:lang w:eastAsia="zh-CN"/>
        </w:rPr>
        <w:t xml:space="preserve">部交管局陆续发布《视频专网集成指挥平台建设技术方案》（征求意见稿）和《视频专网集成指挥平台建设技术方案》（讨论稿），文件提出了视频专网集成指挥平台7大基础功能建设要求，其中一大功能是</w:t>
      </w:r>
      <w:r>
        <w:rPr>
          <w:rFonts w:hint="eastAsia" w:ascii="宋体" w:hAnsi="宋体" w:eastAsia="宋体" w:cs="宋体"/>
          <w:sz w:val="24"/>
          <w:szCs w:val="24"/>
          <w:lang w:eastAsia="zh-CN"/>
        </w:rPr>
        <w:t xml:space="preserve">设备运维管理功能。功能包括设备管理、运行监测、故障维护、运行态势、考核评价，对道路交通监控设备、运行环境及应用服务进行规范化、精细化、智能化的运行维护管理，旨在提高视频专网集成指挥平台和道路交通监控设备的运维能力。</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保障信息系统及设备的正常稳定运行，各职能部门构建了运维监控平台，实现对设备运行状态的管理监控。但随着信息化建设持续发展，各类设备种类和数量日趋庞大，各地普遍面临前端品牌多、信息化系统多，运维单位多，难管理的痛点。在此背景下，针对信息化生态体系中的前后端设备、数据和应用软件构建智能化、自动化的诊断运维管理机制，显得十分迫切。</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当前，在“以人为本”的人居背景下，让所有交通参与者遵循基于“大交通”意识下的交通规则，运用科技手段辅助交通，有效保障城区道路通畅，向狭窄道路要顺畅、事故易发路段要安全、向科技装备要警力，最终能通过强有力的管控措施综合提高城市交通管理水平，为我县综合整治交通环境提供保证。</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通过前期摸排调研、现场实地勘探、综合论证，本次拟从市民出行安全管控、机动车违章管控、城区道路畅通管控、城市交安设施规范设置管控等方面进行综合治理，力求通过以上的管控行为，能有效保证市民出行安全、降低交通事故发生率，保障出行环境良好有序。</w:t>
      </w:r>
      <w:r/>
    </w:p>
    <w:p>
      <w:pPr>
        <w:pStyle w:val="843"/>
        <w:ind w:left="0" w:firstLine="480"/>
        <w:rPr>
          <w:rFonts w:hint="eastAsia"/>
          <w:color w:val="auto"/>
          <w:lang w:eastAsia="zh-CN"/>
        </w:rPr>
      </w:pPr>
      <w:r>
        <w:rPr>
          <w:rFonts w:hint="eastAsia"/>
          <w:color w:val="auto"/>
          <w:highlight w:val="none"/>
          <w:lang w:eastAsia="zh-CN"/>
        </w:rPr>
        <w:t xml:space="preserve">金湖县2025年增补城区交安设施项目主要</w:t>
      </w:r>
      <w:r>
        <w:rPr>
          <w:rFonts w:hint="eastAsia"/>
          <w:color w:val="auto"/>
          <w:highlight w:val="none"/>
          <w:lang w:val="en-US" w:eastAsia="zh-CN"/>
        </w:rPr>
        <w:t xml:space="preserve">内容为对部分路口新增信号灯与监控系统、单点自适应系统、</w:t>
      </w:r>
      <w:r>
        <w:rPr>
          <w:rFonts w:hint="eastAsia" w:ascii="宋体" w:hAnsi="宋体" w:eastAsia="宋体" w:cs="宋体"/>
          <w:i w:val="0"/>
          <w:iCs w:val="0"/>
          <w:color w:val="auto"/>
          <w:sz w:val="24"/>
          <w:szCs w:val="24"/>
          <w:highlight w:val="none"/>
          <w:u w:val="none"/>
          <w:lang w:val="en-US" w:eastAsia="zh-CN" w:bidi="ar"/>
        </w:rPr>
        <w:t xml:space="preserve">行人过街系统</w:t>
      </w:r>
      <w:r>
        <w:rPr>
          <w:rFonts w:hint="eastAsia" w:ascii="宋体" w:hAnsi="宋体" w:cs="宋体"/>
          <w:i w:val="0"/>
          <w:iCs w:val="0"/>
          <w:color w:val="auto"/>
          <w:sz w:val="24"/>
          <w:szCs w:val="24"/>
          <w:highlight w:val="none"/>
          <w:u w:val="none"/>
          <w:lang w:val="en-US" w:eastAsia="zh-CN" w:bidi="ar"/>
        </w:rPr>
        <w:t xml:space="preserve">等</w:t>
      </w:r>
      <w:r>
        <w:rPr>
          <w:rFonts w:hint="eastAsia"/>
          <w:color w:val="auto"/>
          <w:highlight w:val="none"/>
          <w:lang w:eastAsia="zh-CN"/>
        </w:rPr>
        <w:t xml:space="preserve">智能交通管控设施</w:t>
      </w:r>
      <w:r>
        <w:rPr>
          <w:rFonts w:hint="eastAsia" w:ascii="宋体" w:hAnsi="宋体" w:cs="宋体"/>
          <w:i w:val="0"/>
          <w:iCs w:val="0"/>
          <w:color w:val="auto"/>
          <w:sz w:val="24"/>
          <w:szCs w:val="24"/>
          <w:highlight w:val="none"/>
          <w:u w:val="none"/>
          <w:lang w:val="en-US" w:eastAsia="zh-CN" w:bidi="ar"/>
        </w:rPr>
        <w:t xml:space="preserve">，</w:t>
      </w:r>
      <w:r>
        <w:rPr>
          <w:rFonts w:hint="eastAsia"/>
          <w:color w:val="auto"/>
          <w:highlight w:val="none"/>
          <w:lang w:eastAsia="zh-CN"/>
        </w:rPr>
        <w:t xml:space="preserve">另对城区</w:t>
      </w:r>
      <w:r>
        <w:rPr>
          <w:rFonts w:hint="eastAsia"/>
          <w:color w:val="auto"/>
          <w:highlight w:val="none"/>
          <w:lang w:val="en-US" w:eastAsia="zh-CN"/>
        </w:rPr>
        <w:t xml:space="preserve">部分路段新增中央隔离设施、机非隔离设施及相关配套标志标线，同时对城区范围部分标线磨损的位置标线出新</w:t>
      </w:r>
      <w:r>
        <w:rPr>
          <w:rFonts w:hint="eastAsia"/>
          <w:color w:val="auto"/>
          <w:highlight w:val="none"/>
          <w:lang w:eastAsia="zh-CN"/>
        </w:rPr>
        <w:t xml:space="preserve">。具体如下：</w:t>
      </w:r>
      <w:r/>
    </w:p>
    <w:tbl>
      <w:tblPr>
        <w:tblStyle w:val="81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41"/>
        <w:gridCol w:w="2946"/>
        <w:gridCol w:w="722"/>
        <w:gridCol w:w="819"/>
        <w:gridCol w:w="4935"/>
      </w:tblGrid>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类别</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规格</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备注</w:t>
            </w:r>
            <w:r/>
          </w:p>
        </w:tc>
      </w:tr>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新建信号灯与监控系统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路口</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健康路与理士大道、上湾路与衡阳路</w:t>
            </w:r>
            <w:r/>
          </w:p>
        </w:tc>
      </w:tr>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单点自适应系统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路口</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建设路与园林路</w:t>
            </w:r>
            <w:r/>
          </w:p>
        </w:tc>
      </w:tr>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行人过街系统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路口</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北兴路与金荷路、园林路长乐路路口</w:t>
            </w:r>
            <w:r/>
          </w:p>
        </w:tc>
      </w:tr>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信号灯故障智能检测系统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金湖县文明城市智慧交通管理平台系统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模块</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非机动车逆行、走机动车道等2个违法行为抓拍模块</w:t>
            </w:r>
            <w:r/>
          </w:p>
        </w:tc>
      </w:tr>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电子哨兵系统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路口</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金湖路与金荷路</w:t>
            </w:r>
            <w:r/>
          </w:p>
        </w:tc>
      </w:tr>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无人机方舱</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处</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高速路口、西偏泓路口、荷花大道路口、420与247路口</w:t>
            </w:r>
            <w:r/>
          </w:p>
        </w:tc>
      </w:tr>
      <w:tr>
        <w:trPr>
          <w:trHeight w:val="142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行人和非机动车电子劝导员及非机动车闯红灯路口</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处</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金湖西路与247省道、神华大道与247省道、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工园路与247省道、建设西路与247省道、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金湖东路与344国道、东阳路与344国道、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利农路与344国道、人民南路与344国道、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同泰大道与344国道、金湖路与东阳路</w:t>
            </w:r>
            <w:r/>
          </w:p>
        </w:tc>
      </w:tr>
      <w:tr>
        <w:trPr>
          <w:trHeight w:val="142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声光电定向声波系统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处</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金湖西路与247省道、神华大道与247省道、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工园路与247省道、淮河西路与247省道、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金湖东路与344国道、东阳路与344国道、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利农路与344国道、人民南路与344国道、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同泰大道与344国道、新港路与东阳路</w:t>
            </w:r>
            <w:r/>
          </w:p>
        </w:tc>
      </w:tr>
      <w:tr>
        <w:trPr>
          <w:trHeight w:val="1780"/>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可变倒计时显示屏</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640mm</w:t>
            </w:r>
            <w:r>
              <w:rPr>
                <w:rFonts w:hint="eastAsia" w:ascii="宋体" w:hAnsi="宋体" w:cs="宋体"/>
                <w:i w:val="0"/>
                <w:iCs w:val="0"/>
                <w:color w:val="auto"/>
                <w:sz w:val="24"/>
                <w:szCs w:val="24"/>
                <w:highlight w:val="none"/>
                <w:u w:val="none"/>
                <w:lang w:val="en-US" w:eastAsia="zh-CN" w:bidi="ar"/>
              </w:rPr>
              <w:t xml:space="preserve">±50mm</w:t>
            </w:r>
            <w:r>
              <w:rPr>
                <w:rFonts w:hint="eastAsia" w:ascii="宋体" w:hAnsi="宋体" w:eastAsia="宋体" w:cs="宋体"/>
                <w:i w:val="0"/>
                <w:iCs w:val="0"/>
                <w:color w:val="auto"/>
                <w:sz w:val="24"/>
                <w:szCs w:val="24"/>
                <w:highlight w:val="none"/>
                <w:u w:val="none"/>
                <w:lang w:val="en-US" w:eastAsia="zh-CN" w:bidi="ar"/>
              </w:rPr>
              <w:t xml:space="preserve">*960mm</w:t>
            </w:r>
            <w:r>
              <w:rPr>
                <w:rFonts w:hint="eastAsia" w:ascii="宋体" w:hAnsi="宋体" w:cs="宋体"/>
                <w:i w:val="0"/>
                <w:iCs w:val="0"/>
                <w:color w:val="auto"/>
                <w:sz w:val="24"/>
                <w:szCs w:val="24"/>
                <w:highlight w:val="none"/>
                <w:u w:val="none"/>
                <w:lang w:val="en-US" w:eastAsia="zh-CN" w:bidi="ar"/>
              </w:rPr>
              <w:t xml:space="preserve">±50mm</w:t>
            </w:r>
            <w:r>
              <w:rPr>
                <w:rFonts w:hint="eastAsia" w:ascii="宋体" w:hAnsi="宋体" w:eastAsia="宋体" w:cs="宋体"/>
                <w:i w:val="0"/>
                <w:iCs w:val="0"/>
                <w:color w:val="auto"/>
                <w:sz w:val="24"/>
                <w:szCs w:val="24"/>
                <w:u w:val="none"/>
                <w:lang w:val="en-US" w:eastAsia="zh-CN" w:bidi="ar"/>
              </w:rPr>
              <w:t xml:space="preserve">LED 显示屏）</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路口</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建设路与园林路、建设路与衡阳路、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建设路与华海路、神华大道与衡阳路、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神华大道与人民路、神华大道与园林路、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金湖路与人民路、金湖路与园林路、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金湖路与衡阳路、健康路与园林路、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健康路与人民路、健康路与衡阳路</w:t>
            </w:r>
            <w:r/>
          </w:p>
        </w:tc>
      </w:tr>
      <w:tr>
        <w:trPr>
          <w:trHeight w:val="1030"/>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新增机非隔离设施</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路段</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新港路（大佛寺桥至彩虹桥路段）、理士大道（工园路至神华大道路段）、工园路（同泰大道至八四大道路段） </w:t>
            </w:r>
            <w:r/>
          </w:p>
        </w:tc>
      </w:tr>
      <w:tr>
        <w:trPr>
          <w:trHeight w:val="490"/>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新增中央隔离设施</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路段</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金湖路（衡阳路至环城西路路段）</w:t>
            </w:r>
            <w:r/>
          </w:p>
        </w:tc>
      </w:tr>
      <w:tr>
        <w:trPr>
          <w:trHeight w:val="490"/>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新增行人过街预警系统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路段</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新港路（大佛寺桥至彩虹桥路段）</w:t>
            </w:r>
            <w:r>
              <w:rPr>
                <w:rFonts w:hint="eastAsia" w:ascii="宋体" w:hAnsi="宋体" w:cs="宋体"/>
                <w:i w:val="0"/>
                <w:iCs w:val="0"/>
                <w:color w:val="auto"/>
                <w:sz w:val="24"/>
                <w:szCs w:val="24"/>
                <w:u w:val="none"/>
                <w:lang w:val="en-US" w:eastAsia="zh-CN" w:bidi="ar"/>
              </w:rPr>
              <w:t xml:space="preserve">沿线人行过街路口</w:t>
            </w:r>
            <w:r/>
          </w:p>
        </w:tc>
      </w:tr>
      <w:tr>
        <w:trPr>
          <w:trHeight w:val="490"/>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隐患整治路口</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路口</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金湖县水利局门口</w:t>
            </w:r>
            <w:r/>
          </w:p>
        </w:tc>
      </w:tr>
      <w:tr>
        <w:trPr>
          <w:trHeight w:val="490"/>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jc w:val="center"/>
              <w:keepLines w:val="0"/>
              <w:keepNext w:val="0"/>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其他路口路段标线</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11272</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金湖路、同泰大道、神华大道等道路</w:t>
            </w:r>
            <w:r/>
          </w:p>
        </w:tc>
      </w:tr>
    </w:tbl>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通过对以上主要路段的合理规划，力求最大程度保障道路通畅，最大程度保障行人通行安全，从而提高通行效率及能力，根据金湖县政府、住建局、公安交警等部门的规划，要求对城区涉及安全路段进行合理设计，在确保行人及非机动车通行安全的情况下，确保机动车辆快速有序通行；</w:t>
      </w:r>
      <w:r>
        <w:rPr>
          <w:rFonts w:hint="eastAsia" w:ascii="宋体" w:hAnsi="宋体" w:eastAsia="宋体" w:cs="宋体"/>
          <w:sz w:val="24"/>
          <w:szCs w:val="24"/>
          <w:lang w:val="en-US" w:eastAsia="zh-CN"/>
        </w:rPr>
        <w:t xml:space="preserve">同时900万高清</w:t>
      </w:r>
      <w:r>
        <w:rPr>
          <w:rFonts w:hint="eastAsia" w:ascii="宋体" w:hAnsi="宋体" w:eastAsia="宋体" w:cs="宋体"/>
          <w:sz w:val="24"/>
          <w:szCs w:val="24"/>
          <w:lang w:eastAsia="zh-CN"/>
        </w:rPr>
        <w:t xml:space="preserve">电警系统、</w:t>
      </w:r>
      <w:r>
        <w:rPr>
          <w:rFonts w:hint="eastAsia" w:ascii="宋体" w:hAnsi="宋体" w:eastAsia="宋体" w:cs="宋体"/>
          <w:sz w:val="24"/>
          <w:szCs w:val="24"/>
          <w:lang w:val="en-US" w:eastAsia="zh-CN"/>
        </w:rPr>
        <w:t xml:space="preserve">900万高清环保生态</w:t>
      </w:r>
      <w:r>
        <w:rPr>
          <w:rFonts w:hint="eastAsia" w:ascii="宋体" w:hAnsi="宋体" w:eastAsia="宋体" w:cs="宋体"/>
          <w:sz w:val="24"/>
          <w:szCs w:val="24"/>
          <w:lang w:eastAsia="zh-CN"/>
        </w:rPr>
        <w:t xml:space="preserve">卡口抓拍系统、视频监控系统等数据无缝接入</w:t>
      </w:r>
      <w:r>
        <w:rPr>
          <w:rFonts w:hint="eastAsia" w:ascii="宋体" w:hAnsi="宋体" w:eastAsia="宋体" w:cs="宋体"/>
          <w:sz w:val="24"/>
          <w:szCs w:val="24"/>
          <w:highlight w:val="none"/>
          <w:lang w:val="en-US" w:eastAsia="zh-CN"/>
        </w:rPr>
        <w:t xml:space="preserve">县局</w:t>
      </w:r>
      <w:r>
        <w:rPr>
          <w:rFonts w:hint="eastAsia" w:ascii="宋体" w:hAnsi="宋体" w:eastAsia="宋体" w:cs="宋体"/>
          <w:sz w:val="24"/>
          <w:szCs w:val="24"/>
          <w:highlight w:val="none"/>
          <w:lang w:eastAsia="zh-CN"/>
        </w:rPr>
        <w:t xml:space="preserve">现有智能交通综合管控平台</w:t>
      </w:r>
      <w:r>
        <w:rPr>
          <w:rFonts w:hint="eastAsia" w:ascii="宋体" w:hAnsi="宋体" w:eastAsia="宋体" w:cs="宋体"/>
          <w:sz w:val="24"/>
          <w:szCs w:val="24"/>
          <w:lang w:eastAsia="zh-CN"/>
        </w:rPr>
        <w:t xml:space="preserve">、视频图像专网、公安集成指挥平台</w:t>
      </w:r>
      <w:r>
        <w:rPr>
          <w:rFonts w:hint="eastAsia" w:ascii="宋体" w:hAnsi="宋体" w:eastAsia="宋体" w:cs="宋体"/>
          <w:sz w:val="24"/>
          <w:szCs w:val="24"/>
          <w:lang w:val="en-US" w:eastAsia="zh-CN"/>
        </w:rPr>
        <w:t xml:space="preserve">和尧感平台</w:t>
      </w:r>
      <w:r>
        <w:rPr>
          <w:rFonts w:hint="eastAsia" w:ascii="宋体" w:hAnsi="宋体" w:eastAsia="宋体" w:cs="宋体"/>
          <w:sz w:val="24"/>
          <w:szCs w:val="24"/>
          <w:lang w:eastAsia="zh-CN"/>
        </w:rPr>
        <w:t xml:space="preserve">，违停抓拍系统、礼让行人抓拍、右转必停礼让管控抓拍等接入交警部门相应平台，以上需要对现场进行详细勘探，了解道路交叉道口实际情况，合理设计，项目需征得项目指挥部、住建局、公安交警部门、市政道路及绿化部门的同意认可，严禁开挖主干道路、桥梁或明管明线施工，以确保建设后的系统无缝接入交警部门相应管控平台。</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高清电子警察系统及</w:t>
      </w:r>
      <w:r>
        <w:rPr>
          <w:rFonts w:hint="eastAsia" w:ascii="宋体" w:hAnsi="宋体" w:eastAsia="宋体" w:cs="宋体"/>
          <w:sz w:val="24"/>
          <w:szCs w:val="24"/>
          <w:lang w:val="en-US" w:eastAsia="zh-CN"/>
        </w:rPr>
        <w:t xml:space="preserve">高清生态环保</w:t>
      </w:r>
      <w:r>
        <w:rPr>
          <w:rFonts w:hint="eastAsia" w:ascii="宋体" w:hAnsi="宋体" w:eastAsia="宋体" w:cs="宋体"/>
          <w:sz w:val="24"/>
          <w:szCs w:val="24"/>
          <w:lang w:eastAsia="zh-CN"/>
        </w:rPr>
        <w:t xml:space="preserve">卡口抓拍系统，要求必须无缝接入交警大队机房服务器现有的智能交通综合管控平台及公安集成指挥平台，对应公安部新国标要求结合金湖交警部门管控需要，各类采集数据需接入交警部门数据机房指定云存储系统。针对高清电警系统，信号数据采集采用900万像素高清抓拍单元，前端补光灯要求采用暖光源设备，保证机动车驾乘人员过往不受灯光强烈照射影响；针对</w:t>
      </w:r>
      <w:r>
        <w:rPr>
          <w:rFonts w:hint="eastAsia" w:ascii="宋体" w:hAnsi="宋体" w:eastAsia="宋体" w:cs="宋体"/>
          <w:sz w:val="24"/>
          <w:szCs w:val="24"/>
          <w:lang w:val="en-US" w:eastAsia="zh-CN"/>
        </w:rPr>
        <w:t xml:space="preserve">高清生态环保</w:t>
      </w:r>
      <w:r>
        <w:rPr>
          <w:rFonts w:hint="eastAsia" w:ascii="宋体" w:hAnsi="宋体" w:eastAsia="宋体" w:cs="宋体"/>
          <w:sz w:val="24"/>
          <w:szCs w:val="24"/>
          <w:lang w:eastAsia="zh-CN"/>
        </w:rPr>
        <w:t xml:space="preserve">卡口抓拍系统，为响应省厅对公安设施补光装置整治新要求，要求信号数据采集采用900万像素生态环保高清抓拍单元，补光灯要求采用</w:t>
      </w:r>
      <w:r>
        <w:rPr>
          <w:rFonts w:hint="eastAsia" w:ascii="宋体" w:hAnsi="宋体" w:eastAsia="宋体" w:cs="宋体"/>
          <w:sz w:val="24"/>
          <w:szCs w:val="24"/>
          <w:lang w:val="en-US" w:eastAsia="zh-CN"/>
        </w:rPr>
        <w:t xml:space="preserve">多</w:t>
      </w:r>
      <w:r>
        <w:rPr>
          <w:rFonts w:hint="eastAsia" w:ascii="宋体" w:hAnsi="宋体" w:eastAsia="宋体" w:cs="宋体"/>
          <w:sz w:val="24"/>
          <w:szCs w:val="24"/>
          <w:lang w:eastAsia="zh-CN"/>
        </w:rPr>
        <w:t xml:space="preserve">合一补光设备，能支持 LED 灯频闪、白光爆闪，红外爆闪，能有效降低光污染，防止眩光，减少对周边环境的影响，不得影响驾驶员安全驾驶。</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高清监控系统，考虑到系统兼容性，要求无缝接入交警部门现有的高清监控系统管理平台，能对交叉道口监控盲区区域发生的事故及违章进行取证抓拍、对道口拥堵情况实时监看、根据拥堵程度合理进行信号配时优化等，能在信号中心平台电子地图上进行对应控制监控点位，进行调看现场实况。对</w:t>
      </w:r>
      <w:r>
        <w:rPr>
          <w:rFonts w:hint="eastAsia" w:ascii="宋体" w:hAnsi="宋体" w:eastAsia="宋体" w:cs="宋体"/>
          <w:sz w:val="24"/>
          <w:szCs w:val="24"/>
          <w:lang w:val="en-US" w:eastAsia="zh-CN"/>
        </w:rPr>
        <w:t xml:space="preserve">高清</w:t>
      </w:r>
      <w:r>
        <w:rPr>
          <w:rFonts w:hint="eastAsia" w:ascii="宋体" w:hAnsi="宋体" w:eastAsia="宋体" w:cs="宋体"/>
          <w:sz w:val="24"/>
          <w:szCs w:val="24"/>
          <w:lang w:eastAsia="zh-CN"/>
        </w:rPr>
        <w:t xml:space="preserve">智能</w:t>
      </w:r>
      <w:r>
        <w:rPr>
          <w:rFonts w:hint="eastAsia" w:ascii="宋体" w:hAnsi="宋体" w:eastAsia="宋体" w:cs="宋体"/>
          <w:sz w:val="24"/>
          <w:szCs w:val="24"/>
          <w:lang w:val="en-US" w:eastAsia="zh-CN"/>
        </w:rPr>
        <w:t xml:space="preserve">监控</w:t>
      </w:r>
      <w:r>
        <w:rPr>
          <w:rFonts w:hint="eastAsia" w:ascii="宋体" w:hAnsi="宋体" w:eastAsia="宋体" w:cs="宋体"/>
          <w:sz w:val="24"/>
          <w:szCs w:val="24"/>
          <w:lang w:eastAsia="zh-CN"/>
        </w:rPr>
        <w:t xml:space="preserve">球机选择上，要求能适应我县城区各交叉道口夜晚光线照度低的场景，能在低/超低照度环境下实现对该交叉道口中间区域进行无死角的监控及录像存储，要求能对交叉道口不低于2</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lang w:eastAsia="zh-CN"/>
        </w:rPr>
        <w:t xml:space="preserve">米范围内进行红外照射，满足像素不小于400W像素，不小于1/1.8靶面尺寸，不低于</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eastAsia="zh-CN"/>
        </w:rPr>
        <w:t xml:space="preserve">倍光学的照射变倍要求。根据当前公安交警部门对十字交叉道口综合管控的要求，既要求全景监控，又要求细节监控，要求通过设置一体式高清智能球机，内含不少于3个摄像镜头，其中2个作全景监控使用，对道路360度监控，1个作细节监控使用，支持不小于25倍光学变倍，内置不少于2个GPU芯片。</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对于行人过街系统，</w:t>
      </w:r>
      <w:r>
        <w:rPr>
          <w:rFonts w:hint="eastAsia" w:ascii="宋体" w:hAnsi="宋体" w:eastAsia="宋体" w:cs="宋体"/>
          <w:sz w:val="24"/>
          <w:szCs w:val="24"/>
          <w:lang w:eastAsia="zh-CN"/>
        </w:rPr>
        <w:t xml:space="preserve">根据调研及安全管控需要，对金湖县城区范围内多所学校周边建立交通安全管控系统，通过精细化设计，既解决上下学高峰时段道路拥堵问题，又最大限度确保校园周边交通安全，通过科技手段加强校园周边出行安全管控，为学生上下学提供良好的出行安全条件。通过交警部门对城区主要学校附近路段机动车通行效率、拥堵程度、行人过街穿越道路频率等进行大数据</w:t>
      </w:r>
      <w:r>
        <w:rPr>
          <w:rFonts w:hint="eastAsia" w:ascii="宋体" w:hAnsi="宋体" w:cs="宋体"/>
          <w:sz w:val="24"/>
          <w:szCs w:val="24"/>
          <w:highlight w:val="none"/>
          <w:lang w:eastAsia="zh-CN"/>
        </w:rPr>
        <w:t xml:space="preserve">梳理</w:t>
      </w:r>
      <w:r>
        <w:rPr>
          <w:rFonts w:hint="eastAsia" w:ascii="宋体" w:hAnsi="宋体" w:eastAsia="宋体" w:cs="宋体"/>
          <w:sz w:val="24"/>
          <w:szCs w:val="24"/>
          <w:lang w:eastAsia="zh-CN"/>
        </w:rPr>
        <w:t xml:space="preserve">摸排，为优化通行效率、保障学生、行人安全系数，在城区主要学校出入口临近路段设置“申请式”行人过街信号系统，在交通繁忙车流量大、行人需要穿越马路的沿街路段进行设置，有效解决行人安全过街和车辆快速通过之间的通行矛盾，通过行人按下按钮来控制信号灯的变化，在保障行人过街安全的基础上，大幅提升车辆通行效率和交通秩序，也为交通拥堵提供最新的科技治理手段。本次拟在</w:t>
      </w:r>
      <w:r>
        <w:rPr>
          <w:rFonts w:hint="eastAsia" w:ascii="宋体" w:hAnsi="宋体" w:eastAsia="宋体" w:cs="宋体"/>
          <w:sz w:val="24"/>
          <w:szCs w:val="24"/>
          <w:highlight w:val="none"/>
          <w:lang w:eastAsia="zh-CN"/>
        </w:rPr>
        <w:t xml:space="preserve">园林路长乐路交叉路口</w:t>
      </w:r>
      <w:r>
        <w:rPr>
          <w:rFonts w:hint="eastAsia" w:ascii="宋体" w:hAnsi="宋体" w:eastAsia="宋体" w:cs="宋体"/>
          <w:sz w:val="24"/>
          <w:szCs w:val="24"/>
          <w:lang w:eastAsia="zh-CN"/>
        </w:rPr>
        <w:t xml:space="preserve">、北兴路金荷路交叉路口规划建设“申请式”行人过街信号系统，辅之建设电警高清抓拍系统，通过设置以上系统，降低事故发生率、保障行人过街通行安全系数、提升道路通行效率。</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同时，根据当前智能交通的快速发展，LED发光技术及产品的普及，各类LED产品正逐步进入我们的日常生活，近年来我县已在县城主要出入口规划建设了多处LED显示屏情报发布系统，在城区红绿灯路口也规划建设了多处LED屏显示系统，本次拟计划</w:t>
      </w:r>
      <w:r>
        <w:rPr>
          <w:rFonts w:hint="eastAsia" w:ascii="宋体" w:hAnsi="宋体" w:eastAsia="宋体" w:cs="宋体"/>
          <w:sz w:val="24"/>
          <w:szCs w:val="24"/>
          <w:lang w:val="en-US" w:eastAsia="zh-CN"/>
        </w:rPr>
        <w:t xml:space="preserve">在1-2个路口</w:t>
      </w:r>
      <w:r>
        <w:rPr>
          <w:rFonts w:hint="eastAsia" w:ascii="宋体" w:hAnsi="宋体" w:eastAsia="宋体" w:cs="宋体"/>
          <w:sz w:val="24"/>
          <w:szCs w:val="24"/>
          <w:lang w:eastAsia="zh-CN"/>
        </w:rPr>
        <w:t xml:space="preserve">进行试点，采用小型LED显示屏方案，不占用地方，既能和红绿灯整合为一个系统，充当倒计时使用，又可以同步发布类似“礼让行人”、“文明创建 ”、“禁停禁鸣”、“遵纪守法”等宣传文明用语，LED屏发布内容呈现动态式变换，行人或机动车在等待红灯过程中，间接</w:t>
      </w:r>
      <w:r>
        <w:rPr>
          <w:rFonts w:hint="eastAsia" w:ascii="宋体" w:hAnsi="宋体" w:eastAsia="宋体" w:cs="宋体"/>
          <w:sz w:val="24"/>
          <w:szCs w:val="24"/>
          <w:lang w:val="en-US" w:eastAsia="zh-CN"/>
        </w:rPr>
        <w:t xml:space="preserve">地</w:t>
      </w:r>
      <w:r>
        <w:rPr>
          <w:rFonts w:hint="eastAsia" w:ascii="宋体" w:hAnsi="宋体" w:eastAsia="宋体" w:cs="宋体"/>
          <w:sz w:val="24"/>
          <w:szCs w:val="24"/>
          <w:lang w:eastAsia="zh-CN"/>
        </w:rPr>
        <w:t xml:space="preserve">进行</w:t>
      </w:r>
      <w:r>
        <w:rPr>
          <w:rFonts w:hint="eastAsia" w:ascii="宋体" w:hAnsi="宋体" w:eastAsia="宋体" w:cs="宋体"/>
          <w:sz w:val="24"/>
          <w:szCs w:val="24"/>
          <w:lang w:val="en-US" w:eastAsia="zh-CN"/>
        </w:rPr>
        <w:t xml:space="preserve">公共交通安全教育</w:t>
      </w:r>
      <w:r>
        <w:rPr>
          <w:rFonts w:hint="eastAsia" w:ascii="宋体" w:hAnsi="宋体" w:eastAsia="宋体" w:cs="宋体"/>
          <w:sz w:val="24"/>
          <w:szCs w:val="24"/>
          <w:lang w:eastAsia="zh-CN"/>
        </w:rPr>
        <w:t xml:space="preserve">，也避免了机动车驾乘人员在停车等待过程中玩手机现象，进而</w:t>
      </w:r>
      <w:r>
        <w:rPr>
          <w:rFonts w:hint="eastAsia" w:ascii="宋体" w:hAnsi="宋体" w:eastAsia="宋体" w:cs="宋体"/>
          <w:sz w:val="24"/>
          <w:szCs w:val="24"/>
          <w:lang w:val="en-US" w:eastAsia="zh-CN"/>
        </w:rPr>
        <w:t xml:space="preserve">降低</w:t>
      </w:r>
      <w:r>
        <w:rPr>
          <w:rFonts w:hint="eastAsia" w:ascii="宋体" w:hAnsi="宋体" w:eastAsia="宋体" w:cs="宋体"/>
          <w:sz w:val="24"/>
          <w:szCs w:val="24"/>
          <w:lang w:eastAsia="zh-CN"/>
        </w:rPr>
        <w:t xml:space="preserve">交通事故的发生。</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本次项目规划实施的智能交通管控系统进行相应配套的标线、标志牌，针对标线部分，采用热熔标线（特殊路段或路口采用彩色热熔标线），施划厚度需满足规范要求，原则上对本次所有划线工程量均不低于2年的免费质保期，两年内（非意外事件如下雪天气因铲雪车铲雪工作致使标线被铲坏、地表结合度不足例</w:t>
      </w:r>
      <w:r>
        <w:rPr>
          <w:rFonts w:hint="eastAsia" w:ascii="宋体" w:hAnsi="宋体" w:eastAsia="宋体" w:cs="宋体"/>
          <w:sz w:val="24"/>
          <w:szCs w:val="24"/>
          <w:lang w:eastAsia="zh-CN"/>
        </w:rPr>
        <w:t xml:space="preserve">如水泥路面等等除外）因自身施工工艺或施工质量因素发生大面积的脱落损坏、褪色暗淡等由施工单位负责免费重新修补施划；针对标志牌部分，本次项目涉及众多标志牌的加工制作安装，针对小面积（S&lt;3M*2M)的标志牌，制作工艺需满足并符合制作规范，原则上铝板厚度不低于2MM,反光膜采用高等级道路交通反光膜，质保期需不少于2年，安装抱箍必须采用热镀锌抱箍固定；针对较大面积的道路指示牌（（S≧3M*2M)指路牌），要求铝板厚度不低于3MM,反光膜质保期不少于2年，2年内如涉及标牌反光膜褪色不反光等一律由施工单位免费更换处理。</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本次规划建设的众多抓拍监控点位均通过专线接入至交警部门数据机房，</w:t>
      </w:r>
      <w:r>
        <w:rPr>
          <w:rFonts w:hint="eastAsia" w:ascii="宋体" w:hAnsi="宋体" w:eastAsia="宋体" w:cs="宋体"/>
          <w:sz w:val="24"/>
          <w:szCs w:val="24"/>
          <w:lang w:val="en-US" w:eastAsia="zh-CN"/>
        </w:rPr>
        <w:t xml:space="preserve">所有设备需</w:t>
      </w:r>
      <w:r>
        <w:rPr>
          <w:rFonts w:hint="eastAsia" w:ascii="宋体" w:hAnsi="宋体" w:eastAsia="宋体" w:cs="宋体"/>
          <w:sz w:val="24"/>
          <w:szCs w:val="24"/>
          <w:lang w:eastAsia="zh-CN"/>
        </w:rPr>
        <w:t xml:space="preserve">连接入交警部门数据机房大型云存储中，纳入集中统一管控。</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次规划建设系统采用高清化、智能化、网络化等技术，提供道路高清实时监控、违章抓拍、研判分析、车辆布控与报警、数据统计等贴合用户需求的完善功能。同时系统具备友好的接口，可与县交警部门智能交通综合管控平台实现对接，实现系统的“高清监控、实时抓拍、智能识别、联网整合、统一管理”。</w:t>
      </w:r>
      <w:r/>
    </w:p>
    <w:p>
      <w:pPr>
        <w:numPr>
          <w:ilvl w:val="0"/>
          <w:numId w:val="0"/>
        </w:numPr>
        <w:ind w:firstLine="480"/>
        <w:jc w:val="both"/>
        <w:keepLines w:val="0"/>
        <w:keepNext w:val="0"/>
        <w:pageBreakBefore w:val="0"/>
        <w:spacing w:line="360" w:lineRule="auto"/>
        <w:widowControl/>
        <w:rPr>
          <w:rFonts w:hint="eastAsia" w:ascii="宋体" w:hAnsi="宋体" w:eastAsia="宋体" w:cs="宋体"/>
          <w:b/>
          <w:sz w:val="24"/>
          <w:lang w:eastAsia="zh-CN"/>
        </w:rPr>
      </w:pPr>
      <w:r>
        <w:rPr>
          <w:rFonts w:hint="eastAsia" w:ascii="宋体" w:hAnsi="宋体" w:eastAsia="宋体" w:cs="宋体"/>
          <w:sz w:val="24"/>
          <w:szCs w:val="24"/>
          <w:lang w:eastAsia="zh-CN"/>
        </w:rPr>
        <w:t xml:space="preserve">当前，随着科技强警要求，尖端视频技术的飞跃发展，各地公安部门</w:t>
      </w:r>
      <w:r>
        <w:rPr>
          <w:rFonts w:hint="eastAsia" w:ascii="宋体" w:hAnsi="宋体" w:eastAsia="宋体" w:cs="宋体"/>
          <w:sz w:val="24"/>
          <w:szCs w:val="24"/>
          <w:lang w:eastAsia="zh-CN"/>
        </w:rPr>
        <w:t xml:space="preserve">对视频采集的要求越来越高，大数据技术、网络技术、物联网技术、云存储技术被逐渐应用到日常警务管理中，而县公安交警部门已建设的综合管控平台已远远不能满足当前管理要求，平台架构、系统接入设备数、数据库、存储、运维管理已不能适应当前最新管控形势，基于大数据、云视频、海量存储、图像资源的多部门共享及实战应用要求，在本次建设框架下，有效整合当前交警部门数据机房系统平台、Server、Oracle数据库、视频存储等各种资源，采用大数据、云存储、智能视频、大型数据库等最新技术进行升级，力求最大程度满足当前公安部门管控要求。</w:t>
      </w:r>
      <w:r/>
    </w:p>
    <w:p>
      <w:pPr>
        <w:jc w:val="left"/>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1.2、总体目标</w:t>
      </w:r>
      <w:r/>
    </w:p>
    <w:p>
      <w:pPr>
        <w:numPr>
          <w:ilvl w:val="0"/>
          <w:numId w:val="0"/>
        </w:numPr>
        <w:ind w:firstLine="480"/>
        <w:jc w:val="both"/>
        <w:keepLines w:val="0"/>
        <w:keepNext w:val="0"/>
        <w:pageBreakBefore w:val="0"/>
        <w:spacing w:line="360" w:lineRule="auto"/>
        <w:widowControl/>
        <w:rPr>
          <w:rFonts w:hint="eastAsia" w:ascii="宋体" w:hAnsi="宋体" w:eastAsia="宋体" w:cs="宋体"/>
          <w:b/>
          <w:sz w:val="24"/>
          <w:lang w:eastAsia="zh-CN"/>
        </w:rPr>
      </w:pPr>
      <w:r>
        <w:rPr>
          <w:rFonts w:hint="eastAsia" w:ascii="宋体" w:hAnsi="宋体" w:eastAsia="宋体" w:cs="宋体"/>
          <w:sz w:val="24"/>
          <w:szCs w:val="24"/>
          <w:lang w:eastAsia="zh-CN"/>
        </w:rPr>
        <w:t xml:space="preserve">项目的建设应满足实际应用的需要，深化设计，融合智能可视化、深度学习、大数据、物联网等技术，以集约化信息设施为基础，为交警管理工作提供技术服务支撑，对违反管控的违章行为进行实时抓拍，通过规划建设本次项目，力求对本县辖区范围内的主要交叉道口及道路路段进行智能化建设，设置智能交通管控系统，最大程度保证道路、行人通行安全，为文明出行创造好的条件。</w:t>
      </w:r>
      <w:r/>
    </w:p>
    <w:p>
      <w:pPr>
        <w:jc w:val="left"/>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1.3、设计原则</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项目整体解决方案的设计与实施，应以“兼容度、融合度、可持续发展”为基本原则：</w:t>
      </w:r>
      <w:r/>
    </w:p>
    <w:p>
      <w:pPr>
        <w:numPr>
          <w:ilvl w:val="0"/>
          <w:numId w:val="0"/>
        </w:numPr>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（1）兼容度</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高清智能抓拍单元在统一标准下与交警部门现有智能交通综合管控平台、公安集成指挥 平台、海燕平台、违停抓拍平台之间的兼容互通。</w:t>
      </w:r>
      <w:r/>
    </w:p>
    <w:p>
      <w:pPr>
        <w:numPr>
          <w:ilvl w:val="0"/>
          <w:numId w:val="0"/>
        </w:numPr>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（2）融合度</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高清智能抓拍单元、先进的软件应用平台、合理规划的基础设施与综合管控平台相融合。</w:t>
      </w:r>
      <w:r/>
    </w:p>
    <w:p>
      <w:pPr>
        <w:numPr>
          <w:ilvl w:val="0"/>
          <w:numId w:val="0"/>
        </w:numPr>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（3）可持续发展</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根据技术水平发展提供可升级、可拓展、可推广复制的模块化设计方案。</w:t>
      </w:r>
      <w:r/>
    </w:p>
    <w:p>
      <w:pPr>
        <w:jc w:val="left"/>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1.4、设计依据</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项目建设依据国家相关法律规章、国家和行业相关标准、相关研究成果等资料进行规划设计，具体如下：</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（1）《道路交通信号灯设置与安装规范》（GB14886-2016）</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（2）《道路交通信号灯》（GB14887-2011）</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（3）《道路交通信号灯国家标准第一号修改单》</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（4）《建筑物防雷设计规范》（GB50057-2010）</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（5）《电气装置安装工程 母线装置施工及验收规范》（GB50149-2010）</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（6）《道路交通信号控制机》（GB25280-2016）</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（7）《道路交通信号控制机安装规范》（GA489-2016）</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（8）《道路交通管理信息代码》（GA/T16.1~115）</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（9）《公安交通管理外场基础施工通用要求》（GA/T652-2017）</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（10）《民用建筑电气设计标准》（GB 51348-2019）</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（11）《闯红灯自动记录系统通用技术条件》（GA/T496-2014）</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（12）《道路车辆智能监测记录系统通用技术条件》（GAT497-2016）</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（13）《道路交通安全违法行为图像取证技术规范》（GAT 832-2014）</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（14）《机动车号牌图像自动识别技术规范》（GA/T833－2016）</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（15）《交通技术监控信息数据规范》（GA648-2006）</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（16）《中华人民共和国机动车号牌》（GA36-2018）</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（17）《公路交通安全设施设计细则》（JTG/T D81—2017）</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（18）《民用闭路监视电视系统工程技术规范》（JGB 50198-2011）</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（19）《视频安防监控系统技术要求》（GA/T367-2001）</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（20）《公路交通安全设施设计细则》（JTG/T D81-2017）</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（21）《道路交通标志和标线第1部分：总则》（GB5768.1-2009）；</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（22）《道路交通标志和标线第2部分：道路交通标志》（GB5768.2-2022）；</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（23）《道路交通标志和标线第3部分：道路交通标线》（GB5768.3-2009）；</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（24）《城市道路交通标志和标线设置规范》（GB51038-2015）；</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（25）《城市道路交通设施设计规范》（2019年版）（GB50688-2011）；</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（26）《淮安市城区道路交通设施设计导则》（2023.5）</w:t>
      </w:r>
      <w:r/>
    </w:p>
    <w:p>
      <w:pPr>
        <w:numPr>
          <w:ilvl w:val="0"/>
          <w:numId w:val="0"/>
        </w:numPr>
        <w:ind w:firstLine="476"/>
        <w:jc w:val="both"/>
        <w:keepLines w:val="0"/>
        <w:keepNext w:val="0"/>
        <w:pageBreakBefore w:val="0"/>
        <w:spacing w:line="360" w:lineRule="auto"/>
        <w:widowControl/>
        <w:rPr>
          <w:rFonts w:ascii="宋体" w:hAnsi="宋体" w:eastAsia="宋体" w:cs="宋体"/>
          <w:spacing w:val="-6"/>
          <w:sz w:val="24"/>
          <w:szCs w:val="24"/>
          <w:highlight w:val="none"/>
        </w:rPr>
      </w:pPr>
      <w:r>
        <w:rPr>
          <w:rFonts w:ascii="宋体" w:hAnsi="宋体" w:eastAsia="宋体" w:cs="宋体"/>
          <w:spacing w:val="-1"/>
          <w:sz w:val="24"/>
          <w:szCs w:val="24"/>
          <w:highlight w:val="none"/>
        </w:rPr>
        <w:t xml:space="preserve">（</w:t>
      </w:r>
      <w:r>
        <w:rPr>
          <w:rFonts w:hint="eastAsia" w:ascii="宋体" w:hAnsi="宋体" w:cs="宋体"/>
          <w:spacing w:val="-1"/>
          <w:sz w:val="24"/>
          <w:szCs w:val="24"/>
          <w:highlight w:val="none"/>
          <w:lang w:val="en-US" w:eastAsia="zh-CN"/>
        </w:rPr>
        <w:t xml:space="preserve">27</w:t>
      </w:r>
      <w:r>
        <w:rPr>
          <w:rFonts w:ascii="宋体" w:hAnsi="宋体" w:eastAsia="宋体" w:cs="宋体"/>
          <w:spacing w:val="-1"/>
          <w:sz w:val="24"/>
          <w:szCs w:val="24"/>
          <w:highlight w:val="none"/>
        </w:rPr>
        <w:t xml:space="preserve">）金湖县政府、县住建局、县公安局对本次规划的项目设置交通安全设施的具体要</w:t>
      </w:r>
      <w:r>
        <w:rPr>
          <w:rFonts w:ascii="宋体" w:hAnsi="宋体" w:eastAsia="宋体" w:cs="宋体"/>
          <w:spacing w:val="-6"/>
          <w:sz w:val="24"/>
          <w:szCs w:val="24"/>
          <w:highlight w:val="none"/>
        </w:rPr>
        <w:t xml:space="preserve">求</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此外，参照执行了公安部、建设部、</w:t>
      </w:r>
      <w:r>
        <w:rPr>
          <w:rFonts w:hint="eastAsia" w:ascii="宋体" w:hAnsi="宋体" w:cs="宋体"/>
          <w:sz w:val="24"/>
          <w:szCs w:val="24"/>
          <w:highlight w:val="none"/>
          <w:lang w:eastAsia="zh-CN"/>
        </w:rPr>
        <w:t xml:space="preserve">交通运输部</w:t>
      </w:r>
      <w:r>
        <w:rPr>
          <w:rFonts w:hint="eastAsia" w:ascii="宋体" w:hAnsi="宋体" w:eastAsia="宋体" w:cs="宋体"/>
          <w:sz w:val="24"/>
          <w:szCs w:val="24"/>
          <w:highlight w:val="none"/>
          <w:lang w:eastAsia="zh-CN"/>
        </w:rPr>
        <w:t xml:space="preserve">颁发</w:t>
      </w:r>
      <w:r>
        <w:rPr>
          <w:rFonts w:hint="eastAsia" w:ascii="宋体" w:hAnsi="宋体" w:cs="宋体"/>
          <w:sz w:val="24"/>
          <w:szCs w:val="24"/>
          <w:highlight w:val="none"/>
          <w:lang w:eastAsia="zh-CN"/>
        </w:rPr>
        <w:t xml:space="preserve">的其他有关</w:t>
      </w:r>
      <w:r>
        <w:rPr>
          <w:rFonts w:hint="eastAsia" w:ascii="宋体" w:hAnsi="宋体" w:eastAsia="宋体" w:cs="宋体"/>
          <w:sz w:val="24"/>
          <w:szCs w:val="24"/>
          <w:highlight w:val="none"/>
          <w:lang w:eastAsia="zh-CN"/>
        </w:rPr>
        <w:t xml:space="preserve">规范。施工时，如有新的规范、规程颁布实施，应按新的规范、规程执行。</w:t>
      </w:r>
      <w:r/>
    </w:p>
    <w:p>
      <w:pPr>
        <w:spacing w:line="360" w:lineRule="auto"/>
        <w:rPr>
          <w:rFonts w:ascii="宋体" w:hAnsi="宋体" w:eastAsia="宋体" w:cs="宋体"/>
          <w:sz w:val="24"/>
        </w:rPr>
      </w:pPr>
      <w:r>
        <w:rPr>
          <w:rFonts w:hint="eastAsia" w:ascii="宋体" w:hAnsi="宋体" w:eastAsia="宋体" w:cs="宋体"/>
          <w:b/>
          <w:sz w:val="24"/>
        </w:rPr>
        <w:t xml:space="preserve">1.</w:t>
      </w:r>
      <w:r>
        <w:rPr>
          <w:rFonts w:hint="eastAsia" w:ascii="宋体" w:hAnsi="宋体" w:eastAsia="宋体" w:cs="宋体"/>
          <w:b/>
          <w:sz w:val="24"/>
          <w:lang w:val="en-US" w:eastAsia="zh-CN"/>
        </w:rPr>
        <w:t xml:space="preserve">5</w:t>
      </w:r>
      <w:r>
        <w:rPr>
          <w:rFonts w:hint="eastAsia" w:ascii="宋体" w:hAnsi="宋体" w:eastAsia="宋体" w:cs="宋体"/>
          <w:b/>
          <w:sz w:val="24"/>
        </w:rPr>
        <w:t xml:space="preserve">、项目建设整体要求</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1、本次中标供货方负责整个项目的总集成。实现对已建和新建系统（包括供电接电、前端设备、数据链路传输、机房网络汇聚及网络规划配置、数据云存储、综合管控平台、数据库等）的无缝对接整合，涉及与公安交警新数据机房已建设的各类管控平台、公安集成指挥平台、违停抓拍系统平台等进行无缝对接，对智能交通综合管控平台、后端数据库服务器、云存储系统等进行扩容和升级，满足大数据云存储的存储需求，以确保系统始终保持在最优工作状态，必须保证本次系统建设设备的无缝接入。</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.2、</w:t>
      </w:r>
      <w:r>
        <w:rPr>
          <w:rFonts w:hint="eastAsia" w:ascii="宋体" w:hAnsi="宋体" w:eastAsia="宋体" w:cs="宋体"/>
          <w:sz w:val="24"/>
          <w:szCs w:val="24"/>
          <w:highlight w:val="none"/>
          <w:lang w:eastAsia="zh-CN"/>
        </w:rPr>
        <w:t xml:space="preserve">本次中标供货方</w:t>
      </w:r>
      <w:r>
        <w:rPr>
          <w:rFonts w:hint="eastAsia" w:ascii="宋体" w:hAnsi="宋体" w:cs="宋体"/>
          <w:sz w:val="24"/>
          <w:szCs w:val="24"/>
          <w:highlight w:val="none"/>
          <w:lang w:eastAsia="zh-CN"/>
        </w:rPr>
        <w:t xml:space="preserve">须</w:t>
      </w:r>
      <w:r>
        <w:rPr>
          <w:rFonts w:hint="eastAsia" w:ascii="宋体" w:hAnsi="宋体" w:eastAsia="宋体" w:cs="宋体"/>
          <w:sz w:val="24"/>
          <w:szCs w:val="24"/>
          <w:highlight w:val="none"/>
          <w:lang w:eastAsia="zh-CN"/>
        </w:rPr>
        <w:t xml:space="preserve">充分了解招标文件及相应点位现场情况，充分了解本次招标的</w:t>
      </w:r>
      <w:r>
        <w:rPr>
          <w:rFonts w:hint="eastAsia" w:ascii="宋体" w:hAnsi="宋体" w:eastAsia="宋体" w:cs="宋体"/>
          <w:sz w:val="24"/>
          <w:szCs w:val="24"/>
          <w:lang w:eastAsia="zh-CN"/>
        </w:rPr>
        <w:t xml:space="preserve">项目建设所有需求及工程量，并负责系统供电接电、前端设备到后端公安交警新机房的所有网络链路、</w:t>
      </w:r>
      <w:r>
        <w:rPr>
          <w:rFonts w:hint="eastAsia" w:ascii="宋体" w:hAnsi="宋体" w:eastAsia="宋体" w:cs="宋体"/>
          <w:sz w:val="24"/>
          <w:szCs w:val="24"/>
          <w:lang w:val="en-US" w:eastAsia="zh-CN"/>
        </w:rPr>
        <w:t xml:space="preserve">相关平台的对接</w:t>
      </w:r>
      <w:r>
        <w:rPr>
          <w:rFonts w:hint="eastAsia" w:ascii="宋体" w:hAnsi="宋体" w:eastAsia="宋体" w:cs="宋体"/>
          <w:sz w:val="24"/>
          <w:szCs w:val="24"/>
          <w:lang w:eastAsia="zh-CN"/>
        </w:rPr>
        <w:t xml:space="preserve">；对本次建设的系统及配套服务、已建设平台（系统）运行方式及模式、机房内对所有前端IP点位进行汇聚网络构建、数据库等已做了充分的风险评估，能够满足本次项目建设的所有需求及功能，建设单位在本项目建设周期内将不再另行采购或追加项目变更，项目中涉及到的所有设备及服务均应全部包含在本次投标报价中，因投标人原因造成清单遗漏或认知偏差的，由其自行承担，由此造成项目进度停滞、耽误整体交工工期或其他不良后果，给建设单位带来损失的，建设单位有权对中标人进行追责并处罚。</w:t>
      </w:r>
      <w:r/>
    </w:p>
    <w:p>
      <w:pPr>
        <w:ind w:firstLine="500"/>
        <w:spacing w:line="360" w:lineRule="auto"/>
        <w:widowControl w:val="off"/>
        <w:rPr>
          <w:rFonts w:hint="default" w:ascii="宋体" w:hAnsi="宋体" w:eastAsia="宋体" w:cs="宋体"/>
          <w:b/>
          <w:highlight w:val="none"/>
          <w:lang w:val="en-US" w:eastAsia="zh-CN"/>
        </w:rPr>
      </w:pPr>
      <w:r>
        <w:rPr>
          <w:rFonts w:hint="eastAsia" w:ascii="宋体" w:hAnsi="宋体" w:eastAsia="宋体" w:cs="宋体"/>
          <w:b/>
          <w:bCs/>
          <w:sz w:val="24"/>
          <w:highlight w:val="none"/>
          <w:lang w:eastAsia="zh-CN"/>
        </w:rPr>
        <w:t xml:space="preserve">★</w:t>
      </w: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3本次规划建设的交通出行安全管控系统涉及交通信号智能控制、高清电警抓拍以及“申请式”行人过街智能信号控制等多个智能交通类控制系统，前端视频信号及抓拍数据均需无缝接入公安局数据机房纳入统一集中管理，前端数据均实时存储，接入公安局数据云存储系统，以满足公安部门日常查询及管控要求</w:t>
      </w:r>
      <w:r>
        <w:rPr>
          <w:rFonts w:hint="eastAsia" w:ascii="宋体" w:hAnsi="宋体" w:cs="宋体"/>
          <w:color w:val="auto"/>
          <w:sz w:val="24"/>
          <w:highlight w:val="none"/>
          <w:lang w:eastAsia="zh-CN"/>
        </w:rPr>
        <w:t xml:space="preserve">。</w:t>
      </w:r>
      <w:r/>
    </w:p>
    <w:p>
      <w:pPr>
        <w:ind w:firstLine="482"/>
        <w:spacing w:line="360" w:lineRule="auto"/>
        <w:rPr>
          <w:rFonts w:ascii="宋体" w:hAnsi="宋体" w:eastAsia="宋体" w:cs="宋体"/>
          <w:b/>
          <w:bCs/>
          <w:sz w:val="24"/>
          <w:lang w:eastAsia="zh-CN"/>
        </w:rPr>
      </w:pPr>
      <w:r>
        <w:rPr>
          <w:rFonts w:hint="eastAsia" w:ascii="宋体" w:hAnsi="宋体" w:eastAsia="宋体" w:cs="宋体"/>
          <w:b/>
          <w:bCs/>
          <w:sz w:val="24"/>
          <w:lang w:eastAsia="zh-CN"/>
        </w:rPr>
        <w:t xml:space="preserve">1.</w:t>
      </w:r>
      <w:r>
        <w:rPr>
          <w:rFonts w:hint="eastAsia" w:ascii="宋体" w:hAnsi="宋体" w:eastAsia="宋体" w:cs="宋体"/>
          <w:b/>
          <w:bCs/>
          <w:sz w:val="24"/>
          <w:lang w:val="en-US" w:eastAsia="zh-CN"/>
        </w:rPr>
        <w:t xml:space="preserve">5</w:t>
      </w:r>
      <w:r>
        <w:rPr>
          <w:rFonts w:hint="eastAsia" w:ascii="宋体" w:hAnsi="宋体" w:eastAsia="宋体" w:cs="宋体"/>
          <w:b/>
          <w:bCs/>
          <w:sz w:val="24"/>
          <w:lang w:eastAsia="zh-CN"/>
        </w:rPr>
        <w:t xml:space="preserve">.4、投标人需对本次项目标注“★”号参数响应和完全满足，允许正偏离，有一项不满足负偏离作无效标处理。</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.5、本次项目的接口接入及升级问题：</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本次建设</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lang w:eastAsia="zh-CN"/>
        </w:rPr>
        <w:t xml:space="preserve">负责整个项目的总集成，实现对上述建设内容的前、后端全部软硬件建设及安装调试工作，涉及供电接电、前端基础设施及主要设备安装、数据链路传输以及前端各类信号与机房各类公安管控平台的无缝接入，以确保系统保持最优化工作状态。</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、供电接电问题</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由中标供货商负责实施各建设点位的供电接电问题，需严格按照供电部门供电接电规范及实施要求，负责现场勘探并提供相应的设计图纸，完成从供电部门（市政亮化管理部门）上游接电配电箱至本次建设点位控制箱内总控开关之间的电路连接，并保证对接电供电系统进行二年期的免费维护，供电接电所涉及的供电接电设计图纸、管沟开挖深度、管道规格、电缆规格、漏电保护以及隐蔽工程等均需得到供电管理部门的验收签字盖章认可，并作为系统竣工验收移交交警部门的一部分，否则由其承担所引起的一切质量问题及后果。</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、网络链路连接及数据传输部分</w:t>
      </w:r>
      <w:r/>
    </w:p>
    <w:p>
      <w:pPr>
        <w:numPr>
          <w:ilvl w:val="0"/>
          <w:numId w:val="0"/>
        </w:numPr>
        <w:ind w:firstLine="480"/>
        <w:jc w:val="both"/>
        <w:keepLines w:val="0"/>
        <w:keepNext w:val="0"/>
        <w:pageBreakBefore w:val="0"/>
        <w:spacing w:line="360" w:lineRule="auto"/>
        <w:widowControl/>
        <w:rPr>
          <w:rFonts w:hint="eastAsia" w:ascii="宋体" w:hAnsi="宋体" w:eastAsia="宋体" w:cs="宋体"/>
          <w:b/>
          <w:color w:val="auto"/>
          <w:sz w:val="24"/>
          <w:szCs w:val="21"/>
          <w:lang w:val="en-US" w:eastAsia="zh-CN" w:bidi="ar-SA"/>
        </w:rPr>
      </w:pPr>
      <w:r>
        <w:rPr>
          <w:rFonts w:hint="eastAsia" w:ascii="宋体" w:hAnsi="宋体" w:eastAsia="宋体" w:cs="宋体"/>
          <w:sz w:val="24"/>
          <w:szCs w:val="24"/>
          <w:lang w:val="en-US" w:eastAsia="zh-CN"/>
        </w:rPr>
        <w:t xml:space="preserve">为确保本次项目的顺利实施及整体工程进度交工要求，要求供货商作出具体承诺：明确 对项目涉及的所有建设点位已具体勘探，已充分了解建设单位需求及项目具体要求，如若中 标，承诺在签订合同前向采购方提供由项目所在地网络链路运营商出具的“具有公安交警网络链路解决经验、能提供各建设点位至公安交警部门数据机房专用网络传</w:t>
      </w:r>
      <w:r>
        <w:rPr>
          <w:rFonts w:hint="eastAsia" w:ascii="宋体" w:hAnsi="宋体" w:eastAsia="宋体" w:cs="宋体"/>
          <w:color w:val="000000"/>
          <w:sz w:val="24"/>
          <w:szCs w:val="24"/>
          <w:lang w:val="en-US" w:eastAsia="zh-CN" w:bidi="ar-SA"/>
        </w:rPr>
        <w:t xml:space="preserve">输链路、能无缝接入公安交警部门专用数据汇聚网络、能提供快捷网络链路服务” 的书面盖章承诺函原件。</w:t>
      </w:r>
      <w:r>
        <w:rPr>
          <w:rFonts w:hint="eastAsia" w:ascii="宋体" w:hAnsi="宋体" w:eastAsia="宋体" w:cs="宋体"/>
          <w:b/>
          <w:color w:val="auto"/>
          <w:sz w:val="24"/>
          <w:szCs w:val="21"/>
          <w:lang w:val="en-US" w:eastAsia="zh-CN" w:bidi="ar-SA"/>
        </w:rPr>
        <w:t xml:space="preserve">（提供承诺函加盖公章，格式自拟）</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8</w:t>
      </w:r>
      <w:r>
        <w:rPr>
          <w:rFonts w:hint="eastAsia" w:ascii="宋体" w:hAnsi="宋体" w:eastAsia="宋体" w:cs="宋体"/>
          <w:sz w:val="24"/>
          <w:lang w:eastAsia="zh-CN"/>
        </w:rPr>
        <w:t xml:space="preserve">、供货</w:t>
      </w:r>
      <w:r>
        <w:rPr>
          <w:rFonts w:hint="eastAsia" w:ascii="宋体" w:hAnsi="宋体" w:eastAsia="宋体" w:cs="宋体"/>
          <w:sz w:val="24"/>
          <w:lang w:eastAsia="zh-CN"/>
        </w:rPr>
        <w:t xml:space="preserve">商在本次投标中采用的设备或产品所涉及所有技术、商务文件（含标注“★” 中所要求的各类证明资料），签订合同前，均需提交相关证明原件以及相关资质类、证件类  可供查询的官网截图证明；满足招标文件要求的检测报告、售后及质保函原件及投标文件供招标人审核，如所提供的各类证明类原件、检测报告、投标文件与招标文件相应要求不符，或投标人无法提供原厂出具的售后及质保函原件、检测报告原厂盖章件、运营商链路连接接 入盖章承诺函原件的将承担因此给招标人造成的一切损失；因中标人弄虚作假谋取中标所产生的后果责任自负，提交监管部门处理。</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9</w:t>
      </w:r>
      <w:r>
        <w:rPr>
          <w:rFonts w:hint="eastAsia" w:ascii="宋体" w:hAnsi="宋体" w:eastAsia="宋体" w:cs="宋体"/>
          <w:sz w:val="24"/>
          <w:lang w:eastAsia="zh-CN"/>
        </w:rPr>
        <w:t xml:space="preserve">、为配合本次项目整体交工进度要求，针对本次建设项目，要求中标方严格响应建设工期要求，在项目指挥部要求的工期内保质保量完成系统建设并交付验收，造成拖延工期或因无法接入县公安交警部门数据机房导致无法通过验收的，进而影响整个项目的交工验收的，由中标方承担相关责任。</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施工及安装需要提前和市政道路管理部门、绿化管理部门进行协调，办理相关手续【如因向道路管理部门办理相关手续（如非开挖顶管过路施工），所涉及费用由建设单位承担】，安装调试时严格执行道路及绿化管理部门的要求及管理规范，涉及附属管道施工时，需得到道路管理部门的许可后实施，且安装后恢复原样。</w:t>
      </w:r>
      <w:r/>
    </w:p>
    <w:p>
      <w:pPr>
        <w:pStyle w:val="1096"/>
        <w:ind w:firstLine="48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1.5.11、本次项目不集中组织现场勘探，各潜在投标人须自行对本次项目所涉及的所有建设点位进行实地勘探，了解项目建设点位的施工环境，评估施工所涉及的各类施工准入许可、各类涉及施工的审批手续办理、地下管线管网的分布走向及施工可能带来的破坏赔偿、市政道路及绿化的破坏及恢复、供电接电手续办理、接入及附属管道施工等存在的风险因素及可能影响投标报价，需实地勘探现场后合理综合计价，因未进行现场勘探所造成的各种损失、风险、报价遗漏缺项等等均由各潜在投标人自行承担，招标人不承担任何责任。</w:t>
      </w:r>
      <w:r/>
    </w:p>
    <w:p>
      <w:pPr>
        <w:ind w:firstLine="482"/>
        <w:spacing w:line="360" w:lineRule="auto"/>
        <w:rPr>
          <w:rFonts w:ascii="宋体" w:hAnsi="宋体" w:eastAsia="宋体" w:cs="宋体"/>
          <w:b/>
          <w:sz w:val="24"/>
          <w:lang w:eastAsia="zh-CN"/>
        </w:rPr>
      </w:pPr>
      <w:r>
        <w:rPr>
          <w:rFonts w:hint="eastAsia" w:ascii="宋体" w:hAnsi="宋体" w:eastAsia="宋体" w:cs="宋体"/>
          <w:b/>
          <w:sz w:val="24"/>
          <w:lang w:eastAsia="zh-CN"/>
        </w:rPr>
        <w:t xml:space="preserve">1.</w:t>
      </w:r>
      <w:r>
        <w:rPr>
          <w:rFonts w:hint="eastAsia" w:ascii="宋体" w:hAnsi="宋体" w:eastAsia="宋体" w:cs="宋体"/>
          <w:b/>
          <w:sz w:val="24"/>
          <w:lang w:val="en-US" w:eastAsia="zh-CN"/>
        </w:rPr>
        <w:t xml:space="preserve">6</w:t>
      </w:r>
      <w:r>
        <w:rPr>
          <w:rFonts w:hint="eastAsia" w:ascii="宋体" w:hAnsi="宋体" w:eastAsia="宋体" w:cs="宋体"/>
          <w:b/>
          <w:sz w:val="24"/>
          <w:lang w:eastAsia="zh-CN"/>
        </w:rPr>
        <w:t xml:space="preserve">、建设内容</w:t>
      </w:r>
      <w:r/>
    </w:p>
    <w:tbl>
      <w:tblPr>
        <w:tblStyle w:val="813"/>
        <w:tblW w:w="10552" w:type="dxa"/>
        <w:tblInd w:w="-1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4077"/>
        <w:gridCol w:w="2427"/>
        <w:gridCol w:w="503"/>
        <w:gridCol w:w="692"/>
        <w:gridCol w:w="1974"/>
      </w:tblGrid>
      <w:tr>
        <w:trPr>
          <w:trHeight w:val="697"/>
        </w:trPr>
        <w:tc>
          <w:tcPr>
            <w:tcW w:w="879" w:type="dxa"/>
            <w:vAlign w:val="center"/>
            <w:textDirection w:val="lrTb"/>
            <w:noWrap w:val="false"/>
          </w:tcPr>
          <w:p>
            <w:pPr>
              <w:jc w:val="center"/>
              <w:rPr>
                <w:rFonts w:ascii="宋体" w:hAnsi="宋体" w:cs="宋体"/>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序号</w:t>
            </w:r>
            <w:r/>
          </w:p>
        </w:tc>
        <w:tc>
          <w:tcPr>
            <w:tcW w:w="4077" w:type="dxa"/>
            <w:vAlign w:val="center"/>
            <w:textDirection w:val="lrTb"/>
            <w:noWrap w:val="false"/>
          </w:tcPr>
          <w:p>
            <w:pPr>
              <w:jc w:val="center"/>
              <w:rPr>
                <w:rFonts w:ascii="宋体" w:hAnsi="宋体" w:cs="宋体"/>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名称</w:t>
            </w:r>
            <w:r/>
          </w:p>
        </w:tc>
        <w:tc>
          <w:tcPr>
            <w:tcW w:w="2427" w:type="dxa"/>
            <w:vAlign w:val="center"/>
            <w:textDirection w:val="lrTb"/>
            <w:noWrap w:val="false"/>
          </w:tcPr>
          <w:p>
            <w:pPr>
              <w:jc w:val="center"/>
              <w:rPr>
                <w:rFonts w:ascii="宋体" w:hAnsi="宋体" w:cs="宋体"/>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主要规格参数</w:t>
            </w:r>
            <w:r/>
          </w:p>
        </w:tc>
        <w:tc>
          <w:tcPr>
            <w:tcW w:w="503" w:type="dxa"/>
            <w:vAlign w:val="center"/>
            <w:textDirection w:val="lrTb"/>
            <w:noWrap w:val="false"/>
          </w:tcPr>
          <w:p>
            <w:pPr>
              <w:jc w:val="center"/>
              <w:rPr>
                <w:rFonts w:ascii="宋体" w:hAnsi="宋体" w:cs="宋体"/>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单位</w:t>
            </w:r>
            <w:r/>
          </w:p>
        </w:tc>
        <w:tc>
          <w:tcPr>
            <w:tcW w:w="692" w:type="dxa"/>
            <w:vAlign w:val="center"/>
            <w:textDirection w:val="lrTb"/>
            <w:noWrap w:val="false"/>
          </w:tcPr>
          <w:p>
            <w:pPr>
              <w:jc w:val="center"/>
              <w:rPr>
                <w:rFonts w:ascii="宋体" w:hAnsi="宋体" w:cs="宋体"/>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数量 </w:t>
            </w:r>
            <w:r/>
          </w:p>
        </w:tc>
        <w:tc>
          <w:tcPr>
            <w:tcW w:w="1974" w:type="dxa"/>
            <w:vAlign w:val="center"/>
            <w:textDirection w:val="lrTb"/>
            <w:noWrap w:val="false"/>
          </w:tcPr>
          <w:p>
            <w:pPr>
              <w:jc w:val="center"/>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备注</w:t>
            </w:r>
            <w:r/>
          </w:p>
        </w:tc>
      </w:tr>
      <w:tr>
        <w:trPr>
          <w:trHeight w:val="90"/>
        </w:trPr>
        <w:tc>
          <w:tcPr>
            <w:tcW w:w="879" w:type="dxa"/>
            <w:vAlign w:val="center"/>
            <w:textDirection w:val="lrTb"/>
            <w:noWrap w:val="false"/>
          </w:tcPr>
          <w:p>
            <w:pPr>
              <w:jc w:val="center"/>
              <w:spacing w:line="340" w:lineRule="exact"/>
              <w:tabs>
                <w:tab w:val="left" w:pos="420" w:leader="none"/>
              </w:tabs>
              <w:rPr>
                <w:rFonts w:hint="default" w:eastAsia="宋体"/>
                <w:b/>
                <w:bCs/>
                <w:color w:val="000000" w:themeColor="text1"/>
                <w:sz w:val="21"/>
                <w:szCs w:val="21"/>
                <w:highlight w:val="none"/>
                <w:lang w:val="en-US" w:eastAsia="zh-CN"/>
                <w14:textFill>
                  <w14:solidFill>
                    <w14:schemeClr w14:val="tx1"/>
                  </w14:solidFill>
                </w14:textFill>
              </w:rPr>
            </w:pPr>
            <w:r>
              <w:rPr>
                <w:rFonts w:hint="eastAsia"/>
                <w:b/>
                <w:bCs/>
                <w:color w:val="000000" w:themeColor="text1"/>
                <w:sz w:val="21"/>
                <w:szCs w:val="21"/>
                <w:highlight w:val="none"/>
                <w:lang w:val="en-US" w:eastAsia="zh-CN"/>
                <w14:textFill>
                  <w14:solidFill>
                    <w14:schemeClr w14:val="tx1"/>
                  </w14:solidFill>
                </w14:textFill>
              </w:rPr>
              <w:t xml:space="preserve">一</w:t>
            </w:r>
            <w:r/>
          </w:p>
        </w:tc>
        <w:tc>
          <w:tcPr>
            <w:gridSpan w:val="5"/>
            <w:tcW w:w="9673" w:type="dxa"/>
            <w:vAlign w:val="center"/>
            <w:textDirection w:val="lrTb"/>
            <w:noWrap w:val="false"/>
          </w:tcPr>
          <w:p>
            <w:pPr>
              <w:jc w:val="both"/>
              <w:rPr>
                <w:rFonts w:hint="default" w:eastAsia="宋体"/>
                <w:b/>
                <w:bCs/>
                <w:color w:val="000000" w:themeColor="text1"/>
                <w:sz w:val="21"/>
                <w:szCs w:val="21"/>
                <w:highlight w:val="none"/>
                <w:lang w:val="en-US" w:eastAsia="zh-CN"/>
                <w14:textFill>
                  <w14:solidFill>
                    <w14:schemeClr w14:val="tx1"/>
                  </w14:solidFill>
                </w14:textFill>
              </w:rPr>
            </w:pPr>
            <w:r>
              <w:rPr>
                <w:rFonts w:hint="eastAsia" w:cs="Tahoma"/>
                <w:b/>
                <w:bCs/>
                <w:color w:val="000000" w:themeColor="text1"/>
                <w:sz w:val="21"/>
                <w:szCs w:val="21"/>
                <w:highlight w:val="none"/>
                <w:lang w:val="en-US" w:eastAsia="zh-CN"/>
                <w14:textFill>
                  <w14:solidFill>
                    <w14:schemeClr w14:val="tx1"/>
                  </w14:solidFill>
                </w14:textFill>
              </w:rPr>
              <w:t xml:space="preserve"> 工程数量汇总表</w:t>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w:t>
            </w:r>
            <w:r/>
          </w:p>
        </w:tc>
        <w:tc>
          <w:tcPr>
            <w:tcW w:w="4077" w:type="dxa"/>
            <w:vAlign w:val="center"/>
            <w:textDirection w:val="lrTb"/>
            <w:noWrap w:val="false"/>
          </w:tcPr>
          <w:p>
            <w:pPr>
              <w:jc w:val="center"/>
              <w:keepLines w:val="0"/>
              <w:keepNext w:val="0"/>
              <w:widowControl/>
              <w:rPr>
                <w:rFonts w:hint="default" w:eastAsia="宋体"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重复显示器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可变倒计时显示屏</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(640±50mm*960±50mmLED 显示屏)</w:t>
            </w:r>
            <w:r/>
          </w:p>
          <w:p>
            <w:pPr>
              <w:jc w:val="center"/>
              <w:keepLines w:val="0"/>
              <w:keepNext w:val="0"/>
              <w:widowControl/>
              <w:rPr>
                <w:rFonts w:hint="eastAsia" w:eastAsia="宋体"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路口</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1.2</w:t>
            </w:r>
            <w:r/>
          </w:p>
        </w:tc>
        <w:tc>
          <w:tcPr>
            <w:tcW w:w="4077" w:type="dxa"/>
            <w:vAlign w:val="center"/>
            <w:textDirection w:val="lrTb"/>
            <w:noWrap w:val="false"/>
          </w:tcPr>
          <w:p>
            <w:pPr>
              <w:jc w:val="center"/>
              <w:keepLines w:val="0"/>
              <w:keepNext w:val="0"/>
              <w:widowControl/>
              <w:rPr>
                <w:rFonts w:hint="default" w:eastAsia="宋体"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现状倒计时器拆除利用</w:t>
            </w:r>
            <w:r/>
          </w:p>
        </w:tc>
        <w:tc>
          <w:tcPr>
            <w:tcW w:w="2427" w:type="dxa"/>
            <w:vAlign w:val="center"/>
            <w:textDirection w:val="lrTb"/>
            <w:noWrap w:val="false"/>
          </w:tcPr>
          <w:p>
            <w:pPr>
              <w:pStyle w:val="836"/>
              <w:ind w:left="0" w:right="0" w:firstLine="0"/>
              <w:keepLines w:val="0"/>
              <w:keepNext w:val="0"/>
              <w:spacing w:before="0" w:beforeAutospacing="0" w:after="0" w:afterAutospacing="0"/>
              <w:widowControl/>
              <w:rPr>
                <w:rFonts w:hint="default" w:cs="Tahoma"/>
                <w:b w:val="0"/>
                <w:bCs w:val="0"/>
                <w:color w:val="000000" w:themeColor="text1"/>
                <w:sz w:val="21"/>
                <w:szCs w:val="21"/>
                <w:highlight w:val="none"/>
                <w:lang w:val="en-US"/>
                <w14:textFill>
                  <w14:solidFill>
                    <w14:schemeClr w14:val="tx1"/>
                  </w14:solidFill>
                </w14:textFill>
              </w:rPr>
              <w:suppressLineNumbers w:val="0"/>
            </w:pPr>
            <w:r>
              <w:rPr>
                <w:rFonts w:ascii="宋体" w:hAnsi="宋体" w:eastAsia="宋体" w:cs="宋体"/>
                <w:color w:val="000000" w:themeColor="text1"/>
                <w:sz w:val="22"/>
                <w:szCs w:val="22"/>
                <w:highlight w:val="none"/>
                <w14:textFill>
                  <w14:solidFill>
                    <w14:schemeClr w14:val="tx1"/>
                  </w14:solidFill>
                </w14:textFill>
              </w:rPr>
              <w:t xml:space="preserve">新建可变倒计时显示屏路口现状倒计时器按业主要求拆除放置指定仓库</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路口</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1.3</w:t>
            </w:r>
            <w:r/>
          </w:p>
        </w:tc>
        <w:tc>
          <w:tcPr>
            <w:tcW w:w="4077" w:type="dxa"/>
            <w:vAlign w:val="center"/>
            <w:textDirection w:val="lrTb"/>
            <w:noWrap w:val="false"/>
          </w:tcPr>
          <w:p>
            <w:pPr>
              <w:jc w:val="center"/>
              <w:keepLines w:val="0"/>
              <w:keepNext w:val="0"/>
              <w:widowControl/>
              <w:rPr>
                <w:rFonts w:hint="default" w:eastAsia="宋体"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网络服务器</w:t>
            </w:r>
            <w:r/>
          </w:p>
        </w:tc>
        <w:tc>
          <w:tcPr>
            <w:tcW w:w="2427" w:type="dxa"/>
            <w:vAlign w:val="center"/>
            <w:textDirection w:val="lrTb"/>
            <w:noWrap w:val="false"/>
          </w:tcPr>
          <w:p>
            <w:pPr>
              <w:jc w:val="center"/>
              <w:keepLines w:val="0"/>
              <w:keepNext w:val="0"/>
              <w:widowControl/>
              <w:rPr>
                <w:rFonts w:cs="Tahoma"/>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数据智能云存储服务器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1.4</w:t>
            </w:r>
            <w:r/>
          </w:p>
        </w:tc>
        <w:tc>
          <w:tcPr>
            <w:tcW w:w="4077" w:type="dxa"/>
            <w:vAlign w:val="center"/>
            <w:textDirection w:val="lrTb"/>
            <w:noWrap w:val="false"/>
          </w:tcPr>
          <w:p>
            <w:pPr>
              <w:jc w:val="center"/>
              <w:keepLines w:val="0"/>
              <w:keepNext w:val="0"/>
              <w:widowControl/>
              <w:rPr>
                <w:rFonts w:hint="default" w:eastAsia="宋体"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标志板</w:t>
            </w:r>
            <w:r/>
          </w:p>
        </w:tc>
        <w:tc>
          <w:tcPr>
            <w:tcW w:w="2427"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靠右行驶标志D600</w:t>
            </w:r>
            <w:r/>
          </w:p>
          <w:p>
            <w:pPr>
              <w:jc w:val="both"/>
              <w:keepLines w:val="0"/>
              <w:keepNext w:val="0"/>
              <w:widowControl/>
              <w:rPr>
                <w:rFonts w:cs="Tahoma"/>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1.5</w:t>
            </w:r>
            <w:r/>
          </w:p>
        </w:tc>
        <w:tc>
          <w:tcPr>
            <w:tcW w:w="4077" w:type="dxa"/>
            <w:vAlign w:val="center"/>
            <w:textDirection w:val="lrTb"/>
            <w:noWrap w:val="false"/>
          </w:tcPr>
          <w:p>
            <w:pPr>
              <w:jc w:val="center"/>
              <w:keepLines w:val="0"/>
              <w:keepNext w:val="0"/>
              <w:widowControl/>
              <w:rPr>
                <w:rFonts w:hint="default" w:eastAsia="宋体"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标志板</w:t>
            </w:r>
            <w:r/>
          </w:p>
        </w:tc>
        <w:tc>
          <w:tcPr>
            <w:tcW w:w="2427" w:type="dxa"/>
            <w:vAlign w:val="center"/>
            <w:textDirection w:val="lrTb"/>
            <w:noWrap w:val="false"/>
          </w:tcPr>
          <w:p>
            <w:pPr>
              <w:jc w:val="both"/>
              <w:keepLines w:val="0"/>
              <w:keepNext w:val="0"/>
              <w:widowControl/>
              <w:rPr>
                <w:rFonts w:cs="Tahoma"/>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机非分隔标志2*D600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w:t>
            </w:r>
            <w:r/>
          </w:p>
        </w:tc>
        <w:tc>
          <w:tcPr>
            <w:tcW w:w="1974" w:type="dxa"/>
            <w:vAlign w:val="center"/>
            <w:textDirection w:val="lrTb"/>
            <w:noWrap w:val="false"/>
          </w:tcPr>
          <w:p>
            <w:pPr>
              <w:jc w:val="left"/>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1.6</w:t>
            </w:r>
            <w:r/>
          </w:p>
        </w:tc>
        <w:tc>
          <w:tcPr>
            <w:tcW w:w="4077" w:type="dxa"/>
            <w:vAlign w:val="center"/>
            <w:textDirection w:val="lrTb"/>
            <w:noWrap w:val="false"/>
          </w:tcPr>
          <w:p>
            <w:pPr>
              <w:jc w:val="center"/>
              <w:keepLines w:val="0"/>
              <w:keepNext w:val="0"/>
              <w:widowControl/>
              <w:rPr>
                <w:rFonts w:hint="default"/>
                <w:color w:val="000000" w:themeColor="text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接地装置</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接地极 镀锌角钢L50x50x5，L=2500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镀锌扁钢40x4</w:t>
            </w:r>
            <w:r/>
          </w:p>
          <w:p>
            <w:pPr>
              <w:jc w:val="center"/>
              <w:keepLines w:val="0"/>
              <w:keepNext w:val="0"/>
              <w:widowControl/>
              <w:rPr>
                <w:rFonts w:cs="Tahoma"/>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接地引线 镀锌扁钢50x5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接线端子200x50x5铜条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处</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128</w:t>
            </w:r>
            <w:r/>
          </w:p>
        </w:tc>
        <w:tc>
          <w:tcPr>
            <w:tcW w:w="1974" w:type="dxa"/>
            <w:vAlign w:val="top"/>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1.7</w:t>
            </w:r>
            <w:r/>
          </w:p>
        </w:tc>
        <w:tc>
          <w:tcPr>
            <w:tcW w:w="407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存储卡TF卡（个）</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存储卡TF卡(个)信号灯系统以外的设备配套存储卡,64G具体做法详见图纸设计及采购需求</w:t>
            </w:r>
            <w:r/>
          </w:p>
        </w:tc>
        <w:tc>
          <w:tcPr>
            <w:tcW w:w="50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86</w:t>
            </w:r>
            <w:r/>
          </w:p>
        </w:tc>
        <w:tc>
          <w:tcPr>
            <w:tcW w:w="1974" w:type="dxa"/>
            <w:vAlign w:val="top"/>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1.8</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新增礼让行人标线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80</w:t>
            </w:r>
            <w:r/>
          </w:p>
        </w:tc>
        <w:tc>
          <w:tcPr>
            <w:tcW w:w="1974" w:type="dxa"/>
            <w:vAlign w:val="top"/>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1.9</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其他路口路段标线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11272</w:t>
            </w:r>
            <w:r/>
          </w:p>
        </w:tc>
        <w:tc>
          <w:tcPr>
            <w:tcW w:w="1974" w:type="dxa"/>
            <w:vAlign w:val="top"/>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1.10</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金属栏杆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机非隔离栏杆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5483</w:t>
            </w:r>
            <w:r/>
          </w:p>
        </w:tc>
        <w:tc>
          <w:tcPr>
            <w:tcW w:w="1974" w:type="dxa"/>
            <w:vAlign w:val="top"/>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1.11</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金属栏杆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中央隔离栏杆(一般段)</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1000</w:t>
            </w:r>
            <w:r/>
          </w:p>
        </w:tc>
        <w:tc>
          <w:tcPr>
            <w:tcW w:w="1974" w:type="dxa"/>
            <w:vAlign w:val="top"/>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1.12</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金属栏杆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中央隔离栏杆(降低段)</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135</w:t>
            </w:r>
            <w:r/>
          </w:p>
        </w:tc>
        <w:tc>
          <w:tcPr>
            <w:tcW w:w="1974" w:type="dxa"/>
            <w:vAlign w:val="top"/>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1.13</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防撞筒（墩）</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钢防撞护栏</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型钢、C30砼70.2立方米、模板、钢筋16钢筋12 、6628.4+4985.8+1328.8千克等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468</w:t>
            </w:r>
            <w:r/>
          </w:p>
        </w:tc>
        <w:tc>
          <w:tcPr>
            <w:tcW w:w="1974" w:type="dxa"/>
            <w:vAlign w:val="top"/>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1.14</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警示柱</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道口标柱</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tcW w:w="692"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55</w:t>
            </w:r>
            <w:r/>
          </w:p>
        </w:tc>
        <w:tc>
          <w:tcPr>
            <w:tcW w:w="1974" w:type="dxa"/>
            <w:vAlign w:val="top"/>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1.15</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标记</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轮廓标</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tcW w:w="1974" w:type="dxa"/>
            <w:vAlign w:val="top"/>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b w:val="0"/>
                <w:bCs w:val="0"/>
                <w:color w:val="000000" w:themeColor="text1"/>
                <w:sz w:val="21"/>
                <w:szCs w:val="21"/>
                <w:highlight w:val="none"/>
                <w:lang w:val="en-US" w:eastAsia="zh-CN"/>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r>
            <w:r/>
          </w:p>
        </w:tc>
        <w:tc>
          <w:tcPr>
            <w:tcW w:w="4077" w:type="dxa"/>
            <w:vAlign w:val="center"/>
            <w:textDirection w:val="lrTb"/>
            <w:noWrap w:val="false"/>
          </w:tcPr>
          <w:p>
            <w:pPr>
              <w:rPr>
                <w:rFonts w:hint="default" w:eastAsia="宋体" w:cs="Tahoma"/>
                <w:b w:val="0"/>
                <w:bCs w:val="0"/>
                <w:color w:val="000000" w:themeColor="text1"/>
                <w:sz w:val="21"/>
                <w:szCs w:val="21"/>
                <w:highlight w:val="none"/>
                <w:lang w:val="en-US" w:eastAsia="zh-CN"/>
                <w14:textFill>
                  <w14:solidFill>
                    <w14:schemeClr w14:val="tx1"/>
                  </w14:solidFill>
                </w14:textFill>
              </w:rPr>
            </w:pPr>
            <w:r>
              <w:rPr>
                <w:rFonts w:hint="eastAsia" w:cs="Tahoma"/>
                <w:b w:val="0"/>
                <w:bCs w:val="0"/>
                <w:color w:val="000000" w:themeColor="text1"/>
                <w:sz w:val="21"/>
                <w:szCs w:val="21"/>
                <w:highlight w:val="none"/>
                <w:lang w:val="en-US" w:eastAsia="zh-CN"/>
                <w14:textFill>
                  <w14:solidFill>
                    <w14:schemeClr w14:val="tx1"/>
                  </w14:solidFill>
                </w14:textFill>
              </w:rPr>
              <w:t xml:space="preserve">小计（1）</w:t>
            </w:r>
            <w:r/>
          </w:p>
        </w:tc>
        <w:tc>
          <w:tcPr>
            <w:tcW w:w="2427" w:type="dxa"/>
            <w:vAlign w:val="center"/>
            <w:textDirection w:val="lrTb"/>
            <w:noWrap w:val="false"/>
          </w:tcPr>
          <w:p>
            <w:pPr>
              <w:jc w:val="center"/>
              <w:rPr>
                <w:rFonts w:cs="Tahoma"/>
                <w:b w:val="0"/>
                <w:bCs w:val="0"/>
                <w:color w:val="000000" w:themeColor="text1"/>
                <w:sz w:val="21"/>
                <w:szCs w:val="21"/>
                <w:highlight w:val="none"/>
                <w14:textFill>
                  <w14:solidFill>
                    <w14:schemeClr w14:val="tx1"/>
                  </w14:solidFill>
                </w14:textFill>
              </w:rPr>
            </w:pPr>
            <w:r>
              <w:rPr>
                <w:rFonts w:cs="Tahoma"/>
                <w:b w:val="0"/>
                <w:bCs w:val="0"/>
                <w:color w:val="000000" w:themeColor="text1"/>
                <w:sz w:val="21"/>
                <w:szCs w:val="21"/>
                <w:highlight w:val="none"/>
                <w14:textFill>
                  <w14:solidFill>
                    <w14:schemeClr w14:val="tx1"/>
                  </w14:solidFill>
                </w14:textFill>
              </w:rPr>
            </w:r>
            <w:r/>
          </w:p>
        </w:tc>
        <w:tc>
          <w:tcPr>
            <w:tcW w:w="503" w:type="dxa"/>
            <w:vAlign w:val="center"/>
            <w:textDirection w:val="lrTb"/>
            <w:noWrap w:val="false"/>
          </w:tcPr>
          <w:p>
            <w:pPr>
              <w:ind w:right="-105"/>
              <w:jc w:val="center"/>
              <w:spacing w:line="340" w:lineRule="exact"/>
              <w:rPr>
                <w:rFonts w:hint="eastAsia"/>
                <w:b w:val="0"/>
                <w:bCs w:val="0"/>
                <w:color w:val="000000" w:themeColor="text1"/>
                <w:sz w:val="21"/>
                <w:szCs w:val="21"/>
                <w:highlight w:val="none"/>
                <w:lang w:val="en-US" w:eastAsia="zh-CN"/>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r>
            <w:r/>
          </w:p>
        </w:tc>
        <w:tc>
          <w:tcPr>
            <w:tcW w:w="692" w:type="dxa"/>
            <w:vAlign w:val="center"/>
            <w:textDirection w:val="lrTb"/>
            <w:noWrap w:val="false"/>
          </w:tcPr>
          <w:p>
            <w:pPr>
              <w:jc w:val="center"/>
              <w:rPr>
                <w:rFonts w:hint="eastAsia"/>
                <w:b w:val="0"/>
                <w:bCs w:val="0"/>
                <w:color w:val="000000" w:themeColor="text1"/>
                <w:sz w:val="21"/>
                <w:szCs w:val="21"/>
                <w:highlight w:val="none"/>
                <w:lang w:val="en-US" w:eastAsia="zh-CN"/>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526"/>
        </w:trPr>
        <w:tc>
          <w:tcPr>
            <w:tcW w:w="879" w:type="dxa"/>
            <w:vAlign w:val="center"/>
            <w:textDirection w:val="lrTb"/>
            <w:noWrap w:val="false"/>
          </w:tcPr>
          <w:p>
            <w:pPr>
              <w:jc w:val="center"/>
              <w:spacing w:line="340" w:lineRule="exact"/>
              <w:tabs>
                <w:tab w:val="left" w:pos="420" w:leader="none"/>
              </w:tabs>
              <w:rPr>
                <w:rFonts w:hint="eastAsia" w:eastAsia="宋体"/>
                <w:b/>
                <w:bCs/>
                <w:color w:val="000000" w:themeColor="text1"/>
                <w:sz w:val="21"/>
                <w:szCs w:val="21"/>
                <w:highlight w:val="none"/>
                <w:lang w:eastAsia="zh-CN"/>
                <w14:textFill>
                  <w14:solidFill>
                    <w14:schemeClr w14:val="tx1"/>
                  </w14:solidFill>
                </w14:textFill>
              </w:rPr>
            </w:pPr>
            <w:r>
              <w:rPr>
                <w:rFonts w:hint="eastAsia" w:ascii="宋体" w:hAnsi="宋体"/>
                <w:b/>
                <w:bCs/>
                <w:color w:val="000000" w:themeColor="text1"/>
                <w:sz w:val="21"/>
                <w:szCs w:val="21"/>
                <w:highlight w:val="none"/>
                <w:lang w:val="en-US" w:eastAsia="zh-CN"/>
                <w14:textFill>
                  <w14:solidFill>
                    <w14:schemeClr w14:val="tx1"/>
                  </w14:solidFill>
                </w14:textFill>
              </w:rPr>
              <w:t xml:space="preserve">二</w:t>
            </w:r>
            <w:r/>
          </w:p>
        </w:tc>
        <w:tc>
          <w:tcPr>
            <w:gridSpan w:val="5"/>
            <w:tcW w:w="9673" w:type="dxa"/>
            <w:vAlign w:val="center"/>
            <w:textDirection w:val="lrTb"/>
            <w:noWrap w:val="false"/>
          </w:tcPr>
          <w:p>
            <w:pPr>
              <w:jc w:val="both"/>
              <w:rPr>
                <w:rFonts w:hint="default" w:eastAsia="宋体"/>
                <w:b/>
                <w:bCs/>
                <w:color w:val="000000" w:themeColor="text1"/>
                <w:sz w:val="21"/>
                <w:szCs w:val="21"/>
                <w:highlight w:val="none"/>
                <w:lang w:val="en-US" w:eastAsia="zh-CN"/>
                <w14:textFill>
                  <w14:solidFill>
                    <w14:schemeClr w14:val="tx1"/>
                  </w14:solidFill>
                </w14:textFill>
              </w:rPr>
            </w:pPr>
            <w:r>
              <w:rPr>
                <w:rFonts w:hint="eastAsia"/>
                <w:b/>
                <w:bCs/>
                <w:color w:val="000000" w:themeColor="text1"/>
                <w:sz w:val="21"/>
                <w:szCs w:val="21"/>
                <w:highlight w:val="none"/>
                <w:lang w:val="en-US" w:eastAsia="zh-CN"/>
                <w14:textFill>
                  <w14:solidFill>
                    <w14:schemeClr w14:val="tx1"/>
                  </w14:solidFill>
                </w14:textFill>
              </w:rPr>
              <w:t xml:space="preserve"> 新建信号灯与监控系统工程数量表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6m机动车信号灯杆件及基础（开挖、回填、碎石、C30砼、钢筋、模板、杆件、基础笼等）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基础</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6m机动车信号灯基础（开挖、回填、碎石、C30砼、钢筋、模板、杆件、基础笼等），杆件利用原有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8m机动车信号灯杆件及基础（开挖、回填、碎石、C30砼、钢筋、模板、杆件、基础笼等）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2.4</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10m机动车信号灯杆件及基础（开挖、回填、碎石、C30砼、钢筋、模板、杆件、基础笼等）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2.5</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左转灯组</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2.6</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满屏灯组</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2.7</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倒计时器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600*800型通讯式信号倒计时器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2.8</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人行信号灯组</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2.9</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人行信号灯杆件及基础（开挖、回填、碎石、C30砼、钢筋、模板、杆件、基础笼等）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2.10</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设备控制机箱</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交通信号控制机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2.11</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手持式遥控器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手持式遥控器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2.12</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6m电子警察杆件及基础（开挖、回填、碎石、C30砼、钢筋、模板、杆件、基础笼等）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2.13</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8m电子警察杆件及基础（开挖、回填、碎石、C30砼、钢筋、模板、杆件、基础笼等）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2.14</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信号灯控制电缆及敷设(m)</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RVV-12×1.0mm2,按实计量</w:t>
            </w:r>
            <w:r/>
          </w:p>
          <w:p>
            <w:pPr>
              <w:jc w:val="both"/>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800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2.15</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信号灯灯头电缆及敷设(m)</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RVV-4×1.0mm2,按实计量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2.16</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RVV-2×16mm2,按实计量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2.17</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含1根φ75PE管,按实计量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2.18</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顶管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顶管施工(含过路4根φ75PE管)(m)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440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2.19</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开挖施工(含2根φ75PE管)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开挖施工(含2根φ75PE管)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管沟深度地面道路管道埋设图</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根据现场自行勘察，自行考虑;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420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2.20</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原状恢复绿化土</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原状恢复绿化土</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细砂</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根据现场自行勘察，自行考虑；</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629</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2.21</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人行道恢复</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人行道恢复</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6cm人行道砖</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3cm砂浆</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C20无砂大孔砼 </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级配碎石 </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绿化土回填</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细砂</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74</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2.22</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非机动车道恢复</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非机动车道恢复</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5cm 细粒式沥青砼</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30cmC25水泥混凝土</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15cm碎石垫层</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绿化土回填</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细砂</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shd w:val="clear" w:color="auto" w:fill="auto"/>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W w:w="692"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37</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2.23</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监控摄像设备</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高清智能监控球机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2.24</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监控摄像设备</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900万电警抓拍单元(核心产品)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2.25</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监控摄像设备</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900万高清生态环保卡口抓拍单元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2.26</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LED频闪补光灯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2.27</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多合一补光灯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2.28</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杆件抱杆箱</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杆件抱杆箱</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2.29</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交换机</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工业级5口千兆交换机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2.30</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交换机</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工业级8口千兆交换机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2.31</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收发器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工业级千兆光纤收发器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2.32</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窨井</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窨井（井深暂按1350）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开挖、回填、C30混凝土基础、M10砂浆砌MU10机制砖、C30混凝土现浇、M10防水水泥砂浆抹面、铸铁井盖、模板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座</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2.33</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存储卡TF卡(个)</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存储卡TF卡(个)</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≥64G</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2.34</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室外型网络线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超5类防水网络线(m)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2.35</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RVV-3×1.0mm2,按实计量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2.36</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RVVP 5*1.0mm2,按实计量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2.37</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8芯室外光缆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8芯单模铠装室外光缆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2.38</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网络连接及数据传输(二年)</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网络连接及数据传输(二年)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2.39</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路口数据、信号等接入交警部门机房各类</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平台技术服务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路口数据、信号等接入交警部门机房各类</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平台技术服务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2.40</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16路硬盘录像机(含4块6T硬盘)</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16路硬盘录像机(含4块6T硬盘)</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所租用专线带宽须满足道口传输</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需要及视频流访问需要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2.41</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网络服务器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应用管理服务器(台)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2.42</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企业级硬盘10T</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企业级硬盘10T(块)</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2.43</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“前方监控、交通违法”标志牌</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含配套固定抱箍、安装螺栓及螺帽等)-附着式安装,按交警部门要求规格定制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2.44</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“交通违法监控”标志牌</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含配套固定抱箍、安装螺栓及螺帽等)-附着式安装,按交警部门要求规格定制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2.45</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标志牌迁移</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标志牌迁移</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标志牌迁移按标志支架规格固定，其他工程接线端子排、漏电保护器无规定材质</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根据现场自行勘察，自行考虑;具体做法详见图纸设计及采购需求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处</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2.46</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完成本项目的其他工程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(包括接线端子排、漏电保护器等)</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完成本项目的其他工程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(包括接线端子排、漏电保护器等)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根据现场自行勘察，自行考虑;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2.47</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标线施画、补施(m2)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r>
            <w:r/>
          </w:p>
        </w:tc>
        <w:tc>
          <w:tcPr>
            <w:tcW w:w="4077" w:type="dxa"/>
            <w:vAlign w:val="center"/>
            <w:textDirection w:val="lrTb"/>
            <w:noWrap w:val="false"/>
          </w:tcPr>
          <w:p>
            <w:pPr>
              <w:rPr>
                <w:rFonts w:hint="default" w:cs="Tahoma"/>
                <w:b w:val="0"/>
                <w:bCs w:val="0"/>
                <w:color w:val="000000" w:themeColor="text1"/>
                <w:sz w:val="21"/>
                <w:szCs w:val="21"/>
                <w:highlight w:val="none"/>
                <w:lang w:val="en-US" w:eastAsia="zh-CN"/>
                <w14:textFill>
                  <w14:solidFill>
                    <w14:schemeClr w14:val="tx1"/>
                  </w14:solidFill>
                </w14:textFill>
              </w:rPr>
            </w:pPr>
            <w:r>
              <w:rPr>
                <w:rFonts w:hint="eastAsia" w:cs="Tahoma"/>
                <w:b w:val="0"/>
                <w:bCs w:val="0"/>
                <w:color w:val="000000" w:themeColor="text1"/>
                <w:sz w:val="21"/>
                <w:szCs w:val="21"/>
                <w:highlight w:val="none"/>
                <w:lang w:val="en-US" w:eastAsia="zh-CN"/>
                <w14:textFill>
                  <w14:solidFill>
                    <w14:schemeClr w14:val="tx1"/>
                  </w14:solidFill>
                </w14:textFill>
              </w:rPr>
              <w:t xml:space="preserve">小计（2）</w:t>
            </w:r>
            <w:r/>
          </w:p>
        </w:tc>
        <w:tc>
          <w:tcPr>
            <w:tcW w:w="2427" w:type="dxa"/>
            <w:vAlign w:val="center"/>
            <w:textDirection w:val="lrTb"/>
            <w:noWrap w:val="false"/>
          </w:tcPr>
          <w:p>
            <w:pPr>
              <w:jc w:val="center"/>
              <w:rPr>
                <w:rFonts w:hint="eastAsia" w:cs="Tahoma"/>
                <w:color w:val="000000" w:themeColor="text1"/>
                <w:sz w:val="21"/>
                <w:szCs w:val="21"/>
                <w:highlight w:val="none"/>
                <w14:textFill>
                  <w14:solidFill>
                    <w14:schemeClr w14:val="tx1"/>
                  </w14:solidFill>
                </w14:textFill>
              </w:rPr>
            </w:pPr>
            <w:r>
              <w:rPr>
                <w:rFonts w:hint="eastAsia" w:cs="Tahoma"/>
                <w:color w:val="000000" w:themeColor="text1"/>
                <w:sz w:val="21"/>
                <w:szCs w:val="21"/>
                <w:highlight w:val="none"/>
                <w14:textFill>
                  <w14:solidFill>
                    <w14:schemeClr w14:val="tx1"/>
                  </w14:solidFill>
                </w14:textFill>
              </w:rPr>
            </w:r>
            <w:r/>
          </w:p>
        </w:tc>
        <w:tc>
          <w:tcPr>
            <w:tcW w:w="503" w:type="dxa"/>
            <w:vAlign w:val="center"/>
            <w:textDirection w:val="lrTb"/>
            <w:noWrap w:val="false"/>
          </w:tcPr>
          <w:p>
            <w:pPr>
              <w:ind w:right="-105"/>
              <w:jc w:val="center"/>
              <w:spacing w:line="340" w:lineRule="exact"/>
              <w:rPr>
                <w:rFonts w:hint="eastAsia"/>
                <w:b w:val="0"/>
                <w:bCs w:val="0"/>
                <w:color w:val="000000" w:themeColor="text1"/>
                <w:sz w:val="21"/>
                <w:szCs w:val="21"/>
                <w:highlight w:val="none"/>
                <w:lang w:val="en-US" w:eastAsia="zh-CN"/>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r>
            <w:r/>
          </w:p>
        </w:tc>
        <w:tc>
          <w:tcPr>
            <w:tcW w:w="692" w:type="dxa"/>
            <w:vAlign w:val="center"/>
            <w:textDirection w:val="lrTb"/>
            <w:noWrap w:val="false"/>
          </w:tcPr>
          <w:p>
            <w:pPr>
              <w:jc w:val="center"/>
              <w:rPr>
                <w:rFonts w:hint="eastAsia"/>
                <w:b w:val="0"/>
                <w:bCs w:val="0"/>
                <w:color w:val="000000" w:themeColor="text1"/>
                <w:sz w:val="21"/>
                <w:szCs w:val="21"/>
                <w:highlight w:val="none"/>
                <w:lang w:val="en-US" w:eastAsia="zh-CN"/>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3</w:t>
            </w:r>
            <w:r/>
          </w:p>
        </w:tc>
        <w:tc>
          <w:tcPr>
            <w:gridSpan w:val="5"/>
            <w:tcW w:w="9673" w:type="dxa"/>
            <w:vAlign w:val="center"/>
            <w:textDirection w:val="lrTb"/>
            <w:noWrap w:val="false"/>
          </w:tcPr>
          <w:p>
            <w:pPr>
              <w:jc w:val="left"/>
              <w:rPr>
                <w:rFonts w:hint="default"/>
                <w:b/>
                <w:bCs/>
                <w:color w:val="000000" w:themeColor="text1"/>
                <w:sz w:val="21"/>
                <w:szCs w:val="21"/>
                <w:highlight w:val="none"/>
                <w:lang w:val="en-US"/>
                <w14:textFill>
                  <w14:solidFill>
                    <w14:schemeClr w14:val="tx1"/>
                  </w14:solidFill>
                </w14:textFill>
              </w:rPr>
            </w:pPr>
            <w:r>
              <w:rPr>
                <w:rFonts w:hint="eastAsia" w:cs="Tahoma"/>
                <w:b/>
                <w:bCs/>
                <w:color w:val="000000" w:themeColor="text1"/>
                <w:sz w:val="21"/>
                <w:szCs w:val="21"/>
                <w:highlight w:val="none"/>
                <w:lang w:val="en-US" w:eastAsia="zh-CN"/>
                <w14:textFill>
                  <w14:solidFill>
                    <w14:schemeClr w14:val="tx1"/>
                  </w14:solidFill>
                </w14:textFill>
              </w:rPr>
              <w:t xml:space="preserve"> 单点自适应系统</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3.1</w:t>
            </w:r>
            <w:r/>
          </w:p>
        </w:tc>
        <w:tc>
          <w:tcPr>
            <w:tcW w:w="4077" w:type="dxa"/>
            <w:vAlign w:val="center"/>
            <w:textDirection w:val="lrTb"/>
            <w:noWrap w:val="false"/>
          </w:tcPr>
          <w:p>
            <w:pPr>
              <w:jc w:val="center"/>
              <w:keepLines w:val="0"/>
              <w:keepNext w:val="0"/>
              <w:widowControl/>
              <w:rPr>
                <w:rFonts w:hint="eastAsia" w:ascii="Arial" w:hAnsi="Arial" w:eastAsia="Arial"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广域雷达微波检测器、安装配件包</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采用广域雷达跟踪和高清视频融合技术,一体化设计,可跟踪256个目标,检测目标的即时位置、即时速度、目标分类、实时排队长度、实时区域状态、多断面的交通流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、异常事件等高精度检测及视频可视化;视频像素500万,检测范围:8车道、350米远;同时支持正向或者侧向安装。</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不锈钢支架,抱箍及稳压电源</w:t>
            </w:r>
            <w:r/>
          </w:p>
          <w:p>
            <w:pPr>
              <w:jc w:val="both"/>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包含抱杆箱、交换机、电缆、网线、光纤、管材等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各类设备的基础固定安装、通电通网、基本调试,以及相关安全保障,包括人工、材料、机具等综合费用</w:t>
            </w:r>
            <w:r/>
          </w:p>
          <w:p>
            <w:pPr>
              <w:jc w:val="center"/>
              <w:keepLines w:val="0"/>
              <w:keepNext w:val="0"/>
              <w:widowControl/>
              <w:rPr>
                <w:rFonts w:hint="eastAsia" w:ascii="Arial" w:hAnsi="Arial"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Arial" w:hAnsi="Arial" w:eastAsia="Arial" w:cs="Arial"/>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Arial" w:hAnsi="Arial" w:eastAsia="Arial" w:cs="Arial"/>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3.2</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雷达数据处理器</w:t>
            </w:r>
            <w:r/>
          </w:p>
        </w:tc>
        <w:tc>
          <w:tcPr>
            <w:tcW w:w="2427" w:type="dxa"/>
            <w:vAlign w:val="center"/>
            <w:textDirection w:val="lrTb"/>
            <w:noWrap w:val="false"/>
          </w:tcPr>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雷达数据处理器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实现最多四台微波检测器和信号机的连接,支持一路RJ45网络输入,一路RS485输出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r>
            <w:r/>
          </w:p>
        </w:tc>
        <w:tc>
          <w:tcPr>
            <w:tcW w:w="4077" w:type="dxa"/>
            <w:vAlign w:val="center"/>
            <w:textDirection w:val="lrTb"/>
            <w:noWrap w:val="false"/>
          </w:tcPr>
          <w:p>
            <w:pPr>
              <w:rPr>
                <w:rFonts w:hint="default" w:cs="Tahoma"/>
                <w:b w:val="0"/>
                <w:bCs w:val="0"/>
                <w:color w:val="000000" w:themeColor="text1"/>
                <w:sz w:val="21"/>
                <w:szCs w:val="21"/>
                <w:highlight w:val="none"/>
                <w:lang w:val="en-US" w:eastAsia="zh-CN"/>
                <w14:textFill>
                  <w14:solidFill>
                    <w14:schemeClr w14:val="tx1"/>
                  </w14:solidFill>
                </w14:textFill>
              </w:rPr>
            </w:pPr>
            <w:r>
              <w:rPr>
                <w:rFonts w:hint="eastAsia" w:cs="Tahoma"/>
                <w:b w:val="0"/>
                <w:bCs w:val="0"/>
                <w:color w:val="000000" w:themeColor="text1"/>
                <w:sz w:val="21"/>
                <w:szCs w:val="21"/>
                <w:highlight w:val="none"/>
                <w:lang w:val="en-US" w:eastAsia="zh-CN"/>
                <w14:textFill>
                  <w14:solidFill>
                    <w14:schemeClr w14:val="tx1"/>
                  </w14:solidFill>
                </w14:textFill>
              </w:rPr>
              <w:t xml:space="preserve">小计（3）</w:t>
            </w:r>
            <w:r/>
          </w:p>
        </w:tc>
        <w:tc>
          <w:tcPr>
            <w:tcW w:w="2427" w:type="dxa"/>
            <w:vAlign w:val="center"/>
            <w:textDirection w:val="lrTb"/>
            <w:noWrap w:val="false"/>
          </w:tcPr>
          <w:p>
            <w:pPr>
              <w:jc w:val="center"/>
              <w:rPr>
                <w:rFonts w:hint="eastAsia" w:cs="Tahoma"/>
                <w:color w:val="000000" w:themeColor="text1"/>
                <w:sz w:val="21"/>
                <w:szCs w:val="21"/>
                <w:highlight w:val="none"/>
                <w14:textFill>
                  <w14:solidFill>
                    <w14:schemeClr w14:val="tx1"/>
                  </w14:solidFill>
                </w14:textFill>
              </w:rPr>
            </w:pPr>
            <w:r>
              <w:rPr>
                <w:rFonts w:hint="eastAsia" w:cs="Tahoma"/>
                <w:color w:val="000000" w:themeColor="text1"/>
                <w:sz w:val="21"/>
                <w:szCs w:val="21"/>
                <w:highlight w:val="none"/>
                <w14:textFill>
                  <w14:solidFill>
                    <w14:schemeClr w14:val="tx1"/>
                  </w14:solidFill>
                </w14:textFill>
              </w:rPr>
            </w:r>
            <w:r/>
          </w:p>
        </w:tc>
        <w:tc>
          <w:tcPr>
            <w:tcW w:w="503" w:type="dxa"/>
            <w:vAlign w:val="center"/>
            <w:textDirection w:val="lrTb"/>
            <w:noWrap w:val="false"/>
          </w:tcPr>
          <w:p>
            <w:pPr>
              <w:ind w:right="-105"/>
              <w:jc w:val="center"/>
              <w:spacing w:line="340" w:lineRule="exact"/>
              <w:rPr>
                <w:rFonts w:hint="eastAsia"/>
                <w:b w:val="0"/>
                <w:bCs w:val="0"/>
                <w:color w:val="000000" w:themeColor="text1"/>
                <w:sz w:val="21"/>
                <w:szCs w:val="21"/>
                <w:highlight w:val="none"/>
                <w:lang w:val="en-US" w:eastAsia="zh-CN"/>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r>
            <w:r/>
          </w:p>
        </w:tc>
        <w:tc>
          <w:tcPr>
            <w:tcW w:w="692" w:type="dxa"/>
            <w:vAlign w:val="center"/>
            <w:textDirection w:val="lrTb"/>
            <w:noWrap w:val="false"/>
          </w:tcPr>
          <w:p>
            <w:pPr>
              <w:jc w:val="center"/>
              <w:rPr>
                <w:rFonts w:hint="eastAsia"/>
                <w:b w:val="0"/>
                <w:bCs w:val="0"/>
                <w:color w:val="000000" w:themeColor="text1"/>
                <w:sz w:val="21"/>
                <w:szCs w:val="21"/>
                <w:highlight w:val="none"/>
                <w:lang w:val="en-US" w:eastAsia="zh-CN"/>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w:t>
            </w:r>
            <w:r/>
          </w:p>
        </w:tc>
        <w:tc>
          <w:tcPr>
            <w:gridSpan w:val="5"/>
            <w:tcW w:w="9673" w:type="dxa"/>
            <w:vAlign w:val="center"/>
            <w:textDirection w:val="lrTb"/>
            <w:noWrap w:val="false"/>
          </w:tcPr>
          <w:p>
            <w:pPr>
              <w:jc w:val="left"/>
              <w:rPr>
                <w:rFonts w:hint="default"/>
                <w:b/>
                <w:bCs/>
                <w:color w:val="000000" w:themeColor="text1"/>
                <w:sz w:val="21"/>
                <w:szCs w:val="21"/>
                <w:highlight w:val="none"/>
                <w:lang w:val="en-US"/>
                <w14:textFill>
                  <w14:solidFill>
                    <w14:schemeClr w14:val="tx1"/>
                  </w14:solidFill>
                </w14:textFill>
              </w:rPr>
            </w:pPr>
            <w:r>
              <w:rPr>
                <w:rFonts w:hint="eastAsia" w:cs="Tahoma"/>
                <w:b/>
                <w:bCs/>
                <w:color w:val="000000" w:themeColor="text1"/>
                <w:sz w:val="21"/>
                <w:szCs w:val="21"/>
                <w:highlight w:val="none"/>
                <w:lang w:val="en-US" w:eastAsia="zh-CN"/>
                <w14:textFill>
                  <w14:solidFill>
                    <w14:schemeClr w14:val="tx1"/>
                  </w14:solidFill>
                </w14:textFill>
              </w:rPr>
              <w:t xml:space="preserve"> 行人过街系统工程数量表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交通信号控制机</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交通信号控制机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北兴路金荷路路口和园林路长乐路路口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监控摄像设备</w:t>
            </w:r>
            <w:r/>
          </w:p>
        </w:tc>
        <w:tc>
          <w:tcPr>
            <w:tcW w:w="2427" w:type="dxa"/>
            <w:vAlign w:val="center"/>
            <w:textDirection w:val="lrTb"/>
            <w:noWrap w:val="false"/>
          </w:tcPr>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900万高清抓拍单元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北兴路金荷路路口东西向2处计2台(电警);2、园林路长乐路路口南北方向2处计2台(电警);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w:t>
            </w:r>
            <w:r/>
          </w:p>
        </w:tc>
        <w:tc>
          <w:tcPr>
            <w:tcW w:w="2427" w:type="dxa"/>
            <w:vAlign w:val="center"/>
            <w:textDirection w:val="lrTb"/>
            <w:noWrap w:val="false"/>
          </w:tcPr>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LED暖光灯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北兴路金荷路路口东西向2个车道计2台;2、园林路长乐路路口南北方向4个车道计4台;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4.4</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红绿灯信号检测器</w:t>
            </w:r>
            <w:r/>
          </w:p>
        </w:tc>
        <w:tc>
          <w:tcPr>
            <w:tcW w:w="2427" w:type="dxa"/>
            <w:vAlign w:val="center"/>
            <w:textDirection w:val="lrTb"/>
            <w:noWrap w:val="false"/>
          </w:tcPr>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红绿灯信号检测器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北兴路金荷路路口计1台;2、园林路长乐路路口计1台;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4.5</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4路智能终端管理盒</w:t>
            </w:r>
            <w:r/>
          </w:p>
        </w:tc>
        <w:tc>
          <w:tcPr>
            <w:tcW w:w="2427" w:type="dxa"/>
            <w:vAlign w:val="center"/>
            <w:textDirection w:val="lrTb"/>
            <w:noWrap w:val="false"/>
          </w:tcPr>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4路智能终端管理盒</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北兴路金荷路路口计1台;2、园林路长乐路路口计1台;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4.6</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立柱式一体化行人过街系统</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3.5米一体式,灯具排布为静止红色、动态绿、倒计时三联、带触摸式按钮定制及基础（开挖、回填、C30砼、模板、杆件、灯具、按钮、基础笼等）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北兴路金荷路路口计2套;2、园林路长乐路路口计2套;基础尺寸S-03</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4.7</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一体化机动车信号灯系统</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5.2米一体式,灯具排布为红圆盘、黄圆盘、绿圆盘、倒计时四联;及基础（开挖、回填、C30砼、模板、杆件、灯具、按钮、基础笼等）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北兴路金荷路路口计2套;2、园林路长乐路路口计2套;基础尺寸S-03</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4.8</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L型悬臂式监控杆件(八角锥形杆、热镀锌喷塑白色)及基础（开挖、回填、碎石、C30砼、钢筋、模板、杆件、基础笼等）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H6.5ML9M-1套;</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4.9</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L型悬臂式监控杆件(八角锥形杆、热镀锌喷塑白色)及基础（开挖、回填、碎石、C30砼、钢筋、模板、杆件、基础笼等）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H6.5ML6M-1套</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4.10</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不锈钢抱杆箱(内含多孔位插座等)</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不锈钢抱杆箱(内含多孔位插座等)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规格:500*400*180*1.0MM;内含漏电保护器一只、多孔位插排一只;</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4.11</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5口千兆交换机</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5口千兆交换机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5口千兆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4.12</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单模双纤收发器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单模双纤收发器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对</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4.13</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基础</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信号控制机柜基础制作浇筑（开挖、回填、碎石、C30砼、钢筋、模板、杆件、基础笼等）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4.14</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系统供接电施工(含系统用电所必需的用电开户手续、控制开关、插座等)</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系统供接电施工(含系统用电所必需的用电开户手续、线路、管路、控制开关、插座等)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4.15</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顶管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顶管施工(涉及信号及电警的过路顶管作业)</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¢40硅芯管1根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4.16</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附属管道开挖及回填(电警及信号部分)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含¢40硅芯管1根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开挖、回填、¢40硅芯管1根</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根据现场自行勘察，自行考虑;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4.17</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窨井</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窨井（井深暂按1350）</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开挖、回填、C30混凝土基础、M10砂浆砌MU10机制砖、C30混凝土现浇、M10防水水泥砂浆抹面、铸铁井盖、模板</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座</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4.18</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信号线缆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RVV8*1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480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4.19</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控制电缆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RVVP2*1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4.20</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国标RVV2x1.5mm2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4.21</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补光灯控制线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RVV5*1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4.22</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超5类防水网络线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超5类防水网络线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4.23</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室外单模8芯铠装光缆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室外单模8芯铠装光缆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4.24</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数据网络传输专线租用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数据网络传输专线租用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向第三方运营商租用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含2年专线租用费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4.25</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室外防雨落地式接电开关配电柜</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(含基础)</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室外防雨落地式接电开关配电柜(含基础)</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不锈钢或镀锌冷压板加工制作、规格不低于</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1200*600*350,厚度不低于1.0,</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信号控制机柜基础制作浇筑（开挖、回填、碎石、C30砼、钢筋、模板、杆件、基础笼等）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4.26</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窨井(机柜处设置)</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窨井（井深暂按1350）</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开挖、回填、C30混凝土基础、M10砂浆砌MU10机制砖、C30混凝土现浇、M10防水水泥砂浆抹面、铸铁井盖、模板</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座</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4.27</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自动重合闸漏电保护器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自动重合闸漏电保护器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数字式带防雷100A2P</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4.28</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电力电缆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供接电线缆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规格不低于YJV2*6</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4.29</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硅芯管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不低于HDPE40*3.0一根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4.30</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开挖沟槽</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管沟深度地面道路管道埋设图</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根据现场自行勘察，自行考虑;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4.31</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原状恢复绿化土</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原状恢复绿化土</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细砂</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回填参照管沟深度地面道路管道埋设图</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根据现场自行勘察，自行考虑；</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4.32</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水泥路面恢复</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水泥路面内埋设管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35cmC25水泥混凝土</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15cm碎石垫层</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绿化土回填</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细砂</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4.33</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PVC地埋线缆警示桩</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PVC地埋线缆警示桩</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4.34</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斑马线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0.4*5*55道</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东西向各12道、南向8道、北向23道</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4.35</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停车线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0.4*21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东、西、北向各6M、南3M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8.4</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4.36</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道路中间黄实线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0.15*30*4</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停车线后30M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4.37</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边道实线(白)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0.15*30*4*2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4.38</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标记</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车道导向箭头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每方向进出各2个,共4个,具体做法详见图纸设计及采购需求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4.39</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停车线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0.3*4*2道</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东西方向非机动车道缺失增补</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532"/>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r>
            <w:r/>
          </w:p>
        </w:tc>
        <w:tc>
          <w:tcPr>
            <w:tcW w:w="4077" w:type="dxa"/>
            <w:vAlign w:val="center"/>
            <w:textDirection w:val="lrTb"/>
            <w:noWrap w:val="false"/>
          </w:tcPr>
          <w:p>
            <w:pPr>
              <w:rPr>
                <w:rFonts w:hint="default" w:cs="Tahoma"/>
                <w:b w:val="0"/>
                <w:bCs w:val="0"/>
                <w:color w:val="000000" w:themeColor="text1"/>
                <w:sz w:val="21"/>
                <w:szCs w:val="21"/>
                <w:highlight w:val="none"/>
                <w:lang w:val="en-US" w:eastAsia="zh-CN"/>
                <w14:textFill>
                  <w14:solidFill>
                    <w14:schemeClr w14:val="tx1"/>
                  </w14:solidFill>
                </w14:textFill>
              </w:rPr>
            </w:pPr>
            <w:r>
              <w:rPr>
                <w:rFonts w:hint="eastAsia" w:cs="Tahoma"/>
                <w:b w:val="0"/>
                <w:bCs w:val="0"/>
                <w:color w:val="000000" w:themeColor="text1"/>
                <w:sz w:val="21"/>
                <w:szCs w:val="21"/>
                <w:highlight w:val="none"/>
                <w:lang w:val="en-US" w:eastAsia="zh-CN"/>
                <w14:textFill>
                  <w14:solidFill>
                    <w14:schemeClr w14:val="tx1"/>
                  </w14:solidFill>
                </w14:textFill>
              </w:rPr>
              <w:t xml:space="preserve">小计（4)</w:t>
            </w:r>
            <w:r/>
          </w:p>
        </w:tc>
        <w:tc>
          <w:tcPr>
            <w:tcW w:w="2427" w:type="dxa"/>
            <w:vAlign w:val="center"/>
            <w:textDirection w:val="lrTb"/>
            <w:noWrap w:val="false"/>
          </w:tcPr>
          <w:p>
            <w:pPr>
              <w:jc w:val="center"/>
              <w:rPr>
                <w:rFonts w:hint="eastAsia" w:cs="Tahoma"/>
                <w:color w:val="000000" w:themeColor="text1"/>
                <w:sz w:val="21"/>
                <w:szCs w:val="21"/>
                <w:highlight w:val="none"/>
                <w14:textFill>
                  <w14:solidFill>
                    <w14:schemeClr w14:val="tx1"/>
                  </w14:solidFill>
                </w14:textFill>
              </w:rPr>
            </w:pPr>
            <w:r>
              <w:rPr>
                <w:rFonts w:hint="eastAsia" w:cs="Tahoma"/>
                <w:color w:val="000000" w:themeColor="text1"/>
                <w:sz w:val="21"/>
                <w:szCs w:val="21"/>
                <w:highlight w:val="none"/>
                <w14:textFill>
                  <w14:solidFill>
                    <w14:schemeClr w14:val="tx1"/>
                  </w14:solidFill>
                </w14:textFill>
              </w:rPr>
            </w:r>
            <w:r/>
          </w:p>
        </w:tc>
        <w:tc>
          <w:tcPr>
            <w:tcW w:w="503" w:type="dxa"/>
            <w:vAlign w:val="center"/>
            <w:textDirection w:val="lrTb"/>
            <w:noWrap w:val="false"/>
          </w:tcPr>
          <w:p>
            <w:pPr>
              <w:ind w:right="-105"/>
              <w:jc w:val="center"/>
              <w:spacing w:line="340" w:lineRule="exact"/>
              <w:rPr>
                <w:rFonts w:hint="eastAsia"/>
                <w:b w:val="0"/>
                <w:bCs w:val="0"/>
                <w:color w:val="000000" w:themeColor="text1"/>
                <w:sz w:val="21"/>
                <w:szCs w:val="21"/>
                <w:highlight w:val="none"/>
                <w:lang w:val="en-US" w:eastAsia="zh-CN"/>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r>
            <w:r/>
          </w:p>
        </w:tc>
        <w:tc>
          <w:tcPr>
            <w:tcW w:w="692" w:type="dxa"/>
            <w:vAlign w:val="center"/>
            <w:textDirection w:val="lrTb"/>
            <w:noWrap w:val="false"/>
          </w:tcPr>
          <w:p>
            <w:pPr>
              <w:jc w:val="center"/>
              <w:rPr>
                <w:rFonts w:hint="eastAsia"/>
                <w:b w:val="0"/>
                <w:bCs w:val="0"/>
                <w:color w:val="000000" w:themeColor="text1"/>
                <w:sz w:val="21"/>
                <w:szCs w:val="21"/>
                <w:highlight w:val="none"/>
                <w:lang w:val="en-US" w:eastAsia="zh-CN"/>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五</w:t>
            </w:r>
            <w:r/>
          </w:p>
        </w:tc>
        <w:tc>
          <w:tcPr>
            <w:gridSpan w:val="5"/>
            <w:tcW w:w="9673" w:type="dxa"/>
            <w:vAlign w:val="center"/>
            <w:textDirection w:val="lrTb"/>
            <w:noWrap w:val="false"/>
          </w:tcPr>
          <w:p>
            <w:pPr>
              <w:jc w:val="left"/>
              <w:rPr>
                <w:rFonts w:hint="default"/>
                <w:b/>
                <w:bCs/>
                <w:color w:val="000000" w:themeColor="text1"/>
                <w:sz w:val="21"/>
                <w:szCs w:val="21"/>
                <w:highlight w:val="none"/>
                <w:lang w:val="en-US"/>
                <w14:textFill>
                  <w14:solidFill>
                    <w14:schemeClr w14:val="tx1"/>
                  </w14:solidFill>
                </w14:textFill>
              </w:rPr>
            </w:pPr>
            <w:r>
              <w:rPr>
                <w:rFonts w:hint="eastAsia" w:cs="Tahoma"/>
                <w:b/>
                <w:bCs/>
                <w:color w:val="000000" w:themeColor="text1"/>
                <w:sz w:val="21"/>
                <w:szCs w:val="21"/>
                <w:highlight w:val="none"/>
                <w:lang w:val="en-US" w:eastAsia="zh-CN"/>
                <w14:textFill>
                  <w14:solidFill>
                    <w14:schemeClr w14:val="tx1"/>
                  </w14:solidFill>
                </w14:textFill>
              </w:rPr>
              <w:t xml:space="preserve"> 行人过街系统工程数量表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5.1</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标志板</w:t>
            </w:r>
            <w:r/>
          </w:p>
        </w:tc>
        <w:tc>
          <w:tcPr>
            <w:tcW w:w="2427" w:type="dxa"/>
            <w:vAlign w:val="center"/>
            <w:textDirection w:val="lrTb"/>
            <w:noWrap w:val="false"/>
          </w:tcPr>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违法监控录入</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附着式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5.2</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标志板</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前方监控交通违法</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附着式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5.3</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标志板</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违法监控录入</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附着式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5.4</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标志板</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前方监控交通违法</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附着式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r>
            <w:r/>
          </w:p>
        </w:tc>
        <w:tc>
          <w:tcPr>
            <w:tcW w:w="4077" w:type="dxa"/>
            <w:vAlign w:val="center"/>
            <w:textDirection w:val="lrTb"/>
            <w:noWrap w:val="false"/>
          </w:tcPr>
          <w:p>
            <w:pP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cs="Tahoma"/>
                <w:b w:val="0"/>
                <w:bCs w:val="0"/>
                <w:color w:val="000000" w:themeColor="text1"/>
                <w:sz w:val="21"/>
                <w:szCs w:val="21"/>
                <w:highlight w:val="none"/>
                <w:lang w:val="en-US" w:eastAsia="zh-CN"/>
                <w14:textFill>
                  <w14:solidFill>
                    <w14:schemeClr w14:val="tx1"/>
                  </w14:solidFill>
                </w14:textFill>
              </w:rPr>
              <w:t xml:space="preserve">小计（5)</w:t>
            </w:r>
            <w:r/>
          </w:p>
        </w:tc>
        <w:tc>
          <w:tcPr>
            <w:tcW w:w="242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503" w:type="dxa"/>
            <w:vAlign w:val="center"/>
            <w:textDirection w:val="lrTb"/>
            <w:noWrap w:val="false"/>
          </w:tcPr>
          <w:p>
            <w:pPr>
              <w:ind w:right="-105"/>
              <w:jc w:val="center"/>
              <w:spacing w:line="340" w:lineRule="exact"/>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六</w:t>
            </w:r>
            <w:r/>
          </w:p>
        </w:tc>
        <w:tc>
          <w:tcPr>
            <w:gridSpan w:val="5"/>
            <w:tcW w:w="9673" w:type="dxa"/>
            <w:vAlign w:val="center"/>
            <w:textDirection w:val="lrTb"/>
            <w:noWrap w:val="false"/>
          </w:tcPr>
          <w:p>
            <w:pPr>
              <w:jc w:val="left"/>
              <w:rPr>
                <w:rFonts w:hint="eastAsia"/>
                <w:b w:val="0"/>
                <w:bCs w:val="0"/>
                <w:color w:val="000000" w:themeColor="text1"/>
                <w:sz w:val="21"/>
                <w:szCs w:val="21"/>
                <w:highlight w:val="none"/>
                <w14:textFill>
                  <w14:solidFill>
                    <w14:schemeClr w14:val="tx1"/>
                  </w14:solidFill>
                </w14:textFill>
              </w:rPr>
            </w:pPr>
            <w:r>
              <w:rPr>
                <w:rFonts w:hint="eastAsia" w:cs="Tahoma"/>
                <w:b w:val="0"/>
                <w:bCs w:val="0"/>
                <w:color w:val="000000" w:themeColor="text1"/>
                <w:sz w:val="21"/>
                <w:szCs w:val="21"/>
                <w:highlight w:val="none"/>
                <w:lang w:val="en-US" w:eastAsia="zh-CN"/>
                <w14:textFill>
                  <w14:solidFill>
                    <w14:schemeClr w14:val="tx1"/>
                  </w14:solidFill>
                </w14:textFill>
              </w:rPr>
              <w:t xml:space="preserve"> 信号灯故障智能检测系统</w:t>
            </w:r>
            <w:r/>
          </w:p>
        </w:tc>
      </w:tr>
      <w:tr>
        <w:trPr>
          <w:trHeight w:val="323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6.1</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智能运维基础模块</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1.支持资产管理,包括平台同步设备/通道、智能设备、IT基础设备、软件应用;</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2.支持设备在线状态、视频点播、视频质量诊断、录像完整性、卡口抓拍量检测等功能,并支持对以上异常故障的报警及可视化报表统计;</w:t>
            </w:r>
            <w:r/>
          </w:p>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6.2</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通道授权</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通道授权</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智能运维NMS的通道授权模块;每份包含100路通道授权</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tcW w:w="1974" w:type="dxa"/>
            <w:vAlign w:val="center"/>
            <w:textDirection w:val="lrTb"/>
            <w:noWrap w:val="false"/>
          </w:tcPr>
          <w:p>
            <w:pPr>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6.3</w:t>
            </w:r>
            <w:r/>
          </w:p>
        </w:tc>
        <w:tc>
          <w:tcPr>
            <w:tcW w:w="4077" w:type="dxa"/>
            <w:vAlign w:val="center"/>
            <w:textDirection w:val="lrTb"/>
            <w:noWrap w:val="false"/>
          </w:tcPr>
          <w:p>
            <w:pPr>
              <w:jc w:val="center"/>
              <w:keepLines w:val="0"/>
              <w:keepNext w:val="0"/>
              <w:widowControl/>
              <w:rPr>
                <w:rFonts w:hint="default"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交警设备设施故障检测模块</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机动车信号灯/非机动车信号灯/人行横道信号灯/车道信号灯/道路交通信号灯倒计时器的信号灯不亮报警、信号灯单色灯常亮报警、信号灯同亮报警、信号灯亮度不足报警、信号灯遮挡报警、信号灯黄闪报警,支持展示异常图片,并在图片中标记异常信号灯目标物检测区域和检测算法配置支持对视频通道进行信号灯、LED屏等检测对象检测区配置,支持基于实时通道图片画面进行检测区绘制圈选出检测目标,同时可配置对应检测类型和算法类型,以及对算法分析时长进行配置;</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6.4</w:t>
            </w:r>
            <w:r/>
          </w:p>
        </w:tc>
        <w:tc>
          <w:tcPr>
            <w:tcW w:w="4077" w:type="dxa"/>
            <w:vAlign w:val="center"/>
            <w:textDirection w:val="lrTb"/>
            <w:noWrap w:val="false"/>
          </w:tcPr>
          <w:p>
            <w:pPr>
              <w:jc w:val="center"/>
              <w:keepLines w:val="0"/>
              <w:keepNext w:val="0"/>
              <w:widowControl/>
              <w:rPr>
                <w:rFonts w:hint="eastAsia"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运维硬件服务器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CPU:不低于8物理核心/16线程</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内存:配置不低于2根16GB DDR4内存,容量最高支持至256GB</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网卡:板载集成千兆双口+双口千兆网卡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通过riser卡可提供2种PCIe选择:最大可支持2个×8 PCIe 插槽,可支持1块全高半长加1块半高半长PCIe卡最大可支持1个×16 PCIe 插槽</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SAS3008卡,支持RAID0/1/10</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硬盘:2T LFF SATA × 2</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eastAsi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eastAsia="宋体"/>
                <w:b w:val="0"/>
                <w:bCs w:val="0"/>
                <w:color w:val="000000" w:themeColor="text1"/>
                <w:sz w:val="21"/>
                <w:szCs w:val="21"/>
                <w:highlight w:val="none"/>
                <w:lang w:val="en-US" w:eastAsia="zh-CN"/>
                <w14:textFill>
                  <w14:solidFill>
                    <w14:schemeClr w14:val="tx1"/>
                  </w14:solidFill>
                </w14:textFill>
              </w:rPr>
            </w:pPr>
            <w:r>
              <w:rPr>
                <w:rFonts w:hint="eastAsia"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6.5</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交通事件检测智能服务器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硬盘:1块2.5寸128GB SSD,2块3.5寸4TB硬盘</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内存:4根8GB DDR4内存条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智能卡数量:2块智能分析卡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主处理器:CPU不低于4核8线程,3.6GHz</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支持运行红绿灯检测运维算法分析;单台支持不低于32路400万视频分析;</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eastAsia="宋体"/>
                <w:b w:val="0"/>
                <w:bCs w:val="0"/>
                <w:color w:val="000000" w:themeColor="text1"/>
                <w:sz w:val="21"/>
                <w:szCs w:val="21"/>
                <w:highlight w:val="none"/>
                <w:lang w:val="en-US" w:eastAsia="zh-CN"/>
                <w14:textFill>
                  <w14:solidFill>
                    <w14:schemeClr w14:val="tx1"/>
                  </w14:solidFill>
                </w14:textFill>
              </w:rPr>
            </w:pPr>
            <w:r>
              <w:rPr>
                <w:rFonts w:hint="eastAsia"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6.6</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数据库扩容</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支持5亿条数据量存储</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日增数据写入500万条/天(单条数据平均2K)</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数据接入:针对实时流数据提供安全,可靠,可弹性扩展的数据接入能力,支持从kafka、RabbitMQ等主流中间件数据源以消息流方式接入实时结构化数据,包括:过车数据,人脸数据,Mac数据,RFID数</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据,档案类数据等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数据生命周期管理:支持用户自定义配置数据存储生命周期,自动删除超过生命周期的数据</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高级查询接口:1、提供统一API查询接口功能:对上层业务实现了API统一封装,便于上层业务查询对接2、提供通用SQL查询接口功能:支持通过自定义SQL语句方式查询业务数据</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运维管理:1、支持对数据库系统运维:支持服务启停、支持修改IP以及密码、支持数据库巡检2、支持对数据库监控功能:支持监控系统整体运行情况3、提供数据管家功能:支持创建业务表,支持管理数据接入</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任务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eastAsia="宋体"/>
                <w:b w:val="0"/>
                <w:bCs w:val="0"/>
                <w:color w:val="000000" w:themeColor="text1"/>
                <w:sz w:val="21"/>
                <w:szCs w:val="21"/>
                <w:highlight w:val="none"/>
                <w:lang w:val="en-US" w:eastAsia="zh-CN"/>
                <w14:textFill>
                  <w14:solidFill>
                    <w14:schemeClr w14:val="tx1"/>
                  </w14:solidFill>
                </w14:textFill>
              </w:rPr>
            </w:pPr>
            <w:r>
              <w:rPr>
                <w:rFonts w:hint="eastAsia"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6.7</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流媒体节点软件</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转发参数:支持单节点256路转发(4M码流、四网口绑定)</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存储参数:或支持单节点256路存储(4M码流、四网口绑定);或 支持单节点400路车辆卡口存储(四网口绑定)</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接入参数:支持5000私有协议接入,或2500国标接入,或5000主动注册,或2500 Onvif接入</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eastAsia="宋体"/>
                <w:b w:val="0"/>
                <w:bCs w:val="0"/>
                <w:color w:val="000000" w:themeColor="text1"/>
                <w:sz w:val="21"/>
                <w:szCs w:val="21"/>
                <w:highlight w:val="none"/>
                <w:lang w:val="en-US" w:eastAsia="zh-CN"/>
                <w14:textFill>
                  <w14:solidFill>
                    <w14:schemeClr w14:val="tx1"/>
                  </w14:solidFill>
                </w14:textFill>
              </w:rPr>
            </w:pPr>
            <w:r>
              <w:rPr>
                <w:rFonts w:hint="eastAsia"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6.8</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流媒体节点服务器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处理器:2颗Intel Xeon 4210(R)×2.2G 9.6UPI 13.75M 10C 85W</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内存:配置4条16GB DDR4 2933 REG内存</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固态硬盘(SSD):配置2块480G 2.5寸-SATA固态硬盘</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机械硬盘(HDD):配置2块2T 3.5吋 7.2K 6GbSATA热插拔硬盘;</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RAID控制器:LSI SAS3008 SAS卡(IR)</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网卡:双口千兆 RJ45网卡+四口千兆 RJ45网卡+板载双口千兆RJ45网卡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电源:双电源/550 W/</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eastAsia="宋体"/>
                <w:b w:val="0"/>
                <w:bCs w:val="0"/>
                <w:color w:val="000000" w:themeColor="text1"/>
                <w:sz w:val="21"/>
                <w:szCs w:val="21"/>
                <w:highlight w:val="none"/>
                <w:lang w:val="en-US" w:eastAsia="zh-CN"/>
                <w14:textFill>
                  <w14:solidFill>
                    <w14:schemeClr w14:val="tx1"/>
                  </w14:solidFill>
                </w14:textFill>
              </w:rPr>
            </w:pPr>
            <w:r>
              <w:rPr>
                <w:rFonts w:hint="eastAsia"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r>
            <w:r/>
          </w:p>
        </w:tc>
        <w:tc>
          <w:tcPr>
            <w:tcW w:w="4077" w:type="dxa"/>
            <w:vAlign w:val="center"/>
            <w:textDirection w:val="lrTb"/>
            <w:noWrap w:val="false"/>
          </w:tcPr>
          <w:p>
            <w:pPr>
              <w:rPr>
                <w:rFonts w:hint="default" w:cs="Tahoma"/>
                <w:b w:val="0"/>
                <w:bCs w:val="0"/>
                <w:color w:val="000000" w:themeColor="text1"/>
                <w:sz w:val="21"/>
                <w:szCs w:val="21"/>
                <w:highlight w:val="none"/>
                <w:lang w:val="en-US" w:eastAsia="zh-CN"/>
                <w14:textFill>
                  <w14:solidFill>
                    <w14:schemeClr w14:val="tx1"/>
                  </w14:solidFill>
                </w14:textFill>
              </w:rPr>
            </w:pPr>
            <w:r>
              <w:rPr>
                <w:rFonts w:hint="eastAsia" w:cs="Tahoma"/>
                <w:b w:val="0"/>
                <w:bCs w:val="0"/>
                <w:color w:val="000000" w:themeColor="text1"/>
                <w:sz w:val="21"/>
                <w:szCs w:val="21"/>
                <w:highlight w:val="none"/>
                <w:lang w:val="en-US" w:eastAsia="zh-CN"/>
                <w14:textFill>
                  <w14:solidFill>
                    <w14:schemeClr w14:val="tx1"/>
                  </w14:solidFill>
                </w14:textFill>
              </w:rPr>
              <w:t xml:space="preserve">小计（6)</w:t>
            </w:r>
            <w:r/>
          </w:p>
        </w:tc>
        <w:tc>
          <w:tcPr>
            <w:tcW w:w="2427" w:type="dxa"/>
            <w:vAlign w:val="center"/>
            <w:textDirection w:val="lrTb"/>
            <w:noWrap w:val="false"/>
          </w:tcPr>
          <w:p>
            <w:pPr>
              <w:jc w:val="center"/>
              <w:rPr>
                <w:rFonts w:hint="eastAsia" w:cs="Tahoma"/>
                <w:color w:val="000000" w:themeColor="text1"/>
                <w:sz w:val="21"/>
                <w:szCs w:val="21"/>
                <w:highlight w:val="none"/>
                <w14:textFill>
                  <w14:solidFill>
                    <w14:schemeClr w14:val="tx1"/>
                  </w14:solidFill>
                </w14:textFill>
              </w:rPr>
            </w:pPr>
            <w:r>
              <w:rPr>
                <w:rFonts w:hint="eastAsia" w:cs="Tahoma"/>
                <w:color w:val="000000" w:themeColor="text1"/>
                <w:sz w:val="21"/>
                <w:szCs w:val="21"/>
                <w:highlight w:val="none"/>
                <w14:textFill>
                  <w14:solidFill>
                    <w14:schemeClr w14:val="tx1"/>
                  </w14:solidFill>
                </w14:textFill>
              </w:rPr>
            </w:r>
            <w:r/>
          </w:p>
        </w:tc>
        <w:tc>
          <w:tcPr>
            <w:tcW w:w="503" w:type="dxa"/>
            <w:vAlign w:val="center"/>
            <w:textDirection w:val="lrTb"/>
            <w:noWrap w:val="false"/>
          </w:tcPr>
          <w:p>
            <w:pPr>
              <w:ind w:right="-105"/>
              <w:jc w:val="center"/>
              <w:spacing w:line="340" w:lineRule="exact"/>
              <w:rPr>
                <w:rFonts w:hint="default"/>
                <w:b w:val="0"/>
                <w:bCs w:val="0"/>
                <w:color w:val="000000" w:themeColor="text1"/>
                <w:sz w:val="21"/>
                <w:szCs w:val="21"/>
                <w:highlight w:val="none"/>
                <w:lang w:val="en-US" w:eastAsia="zh-CN"/>
                <w14:textFill>
                  <w14:solidFill>
                    <w14:schemeClr w14:val="tx1"/>
                  </w14:solidFill>
                </w14:textFill>
              </w:rPr>
            </w:pPr>
            <w:r>
              <w:rPr>
                <w:rFonts w:hint="default"/>
                <w:b w:val="0"/>
                <w:bCs w:val="0"/>
                <w:color w:val="000000" w:themeColor="text1"/>
                <w:sz w:val="21"/>
                <w:szCs w:val="21"/>
                <w:highlight w:val="none"/>
                <w:lang w:val="en-US" w:eastAsia="zh-CN"/>
                <w14:textFill>
                  <w14:solidFill>
                    <w14:schemeClr w14:val="tx1"/>
                  </w14:solidFill>
                </w14:textFill>
              </w:rPr>
            </w:r>
            <w:r/>
          </w:p>
        </w:tc>
        <w:tc>
          <w:tcPr>
            <w:tcW w:w="692" w:type="dxa"/>
            <w:vAlign w:val="center"/>
            <w:textDirection w:val="lrTb"/>
            <w:noWrap w:val="false"/>
          </w:tcPr>
          <w:p>
            <w:pPr>
              <w:jc w:val="center"/>
              <w:rPr>
                <w:rFonts w:hint="default"/>
                <w:b w:val="0"/>
                <w:bCs w:val="0"/>
                <w:color w:val="000000" w:themeColor="text1"/>
                <w:sz w:val="21"/>
                <w:szCs w:val="21"/>
                <w:highlight w:val="none"/>
                <w:lang w:val="en-US" w:eastAsia="zh-CN"/>
                <w14:textFill>
                  <w14:solidFill>
                    <w14:schemeClr w14:val="tx1"/>
                  </w14:solidFill>
                </w14:textFill>
              </w:rPr>
            </w:pPr>
            <w:r>
              <w:rPr>
                <w:rFonts w:hint="default"/>
                <w:b w:val="0"/>
                <w:bCs w:val="0"/>
                <w:color w:val="000000" w:themeColor="text1"/>
                <w:sz w:val="21"/>
                <w:szCs w:val="21"/>
                <w:highlight w:val="none"/>
                <w:lang w:val="en-US" w:eastAsia="zh-CN"/>
                <w14:textFill>
                  <w14:solidFill>
                    <w14:schemeClr w14:val="tx1"/>
                  </w14:solidFill>
                </w14:textFill>
              </w:rPr>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七</w:t>
            </w:r>
            <w:r/>
          </w:p>
        </w:tc>
        <w:tc>
          <w:tcPr>
            <w:gridSpan w:val="5"/>
            <w:tcW w:w="9673" w:type="dxa"/>
            <w:vAlign w:val="center"/>
            <w:textDirection w:val="lrTb"/>
            <w:noWrap w:val="false"/>
          </w:tcPr>
          <w:p>
            <w:pPr>
              <w:jc w:val="left"/>
              <w:rPr>
                <w:rFonts w:hint="eastAsia"/>
                <w:b/>
                <w:bCs/>
                <w:color w:val="000000" w:themeColor="text1"/>
                <w:sz w:val="21"/>
                <w:szCs w:val="21"/>
                <w:highlight w:val="none"/>
                <w14:textFill>
                  <w14:solidFill>
                    <w14:schemeClr w14:val="tx1"/>
                  </w14:solidFill>
                </w14:textFill>
              </w:rPr>
            </w:pPr>
            <w:r>
              <w:rPr>
                <w:rFonts w:hint="eastAsia" w:cs="Tahoma"/>
                <w:b/>
                <w:bCs/>
                <w:color w:val="000000" w:themeColor="text1"/>
                <w:sz w:val="21"/>
                <w:szCs w:val="21"/>
                <w:highlight w:val="none"/>
                <w:lang w:val="en-US" w:eastAsia="zh-CN"/>
                <w14:textFill>
                  <w14:solidFill>
                    <w14:schemeClr w14:val="tx1"/>
                  </w14:solidFill>
                </w14:textFill>
              </w:rPr>
              <w:t xml:space="preserve"> 金湖县文明城市智慧交通管理平台系统</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7.1</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新增非机动车逆行违法行为抓拍模块</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对接城区重点逆行的抓拍相机，获取抓拍非机动车违法图片，并实现违法人员的自动人脸识别，人工审核，自动短信+电话提醒，查询处罚等功能</w:t>
            </w:r>
            <w:r/>
          </w:p>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7.2</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新增走机动车道违法行为抓拍模块</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对接城区机动车处的抓拍相机，获取抓拍非机动车违法图片，并实现违法人员的自动人脸识别，人工审核，自动短信+电话提醒，查询处罚等功能</w:t>
            </w:r>
            <w:r/>
          </w:p>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r>
            <w:r/>
          </w:p>
        </w:tc>
        <w:tc>
          <w:tcPr>
            <w:tcW w:w="4077" w:type="dxa"/>
            <w:vAlign w:val="center"/>
            <w:textDirection w:val="lrTb"/>
            <w:noWrap w:val="false"/>
          </w:tcPr>
          <w:p>
            <w:pP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cs="Tahoma"/>
                <w:b w:val="0"/>
                <w:bCs w:val="0"/>
                <w:color w:val="000000" w:themeColor="text1"/>
                <w:sz w:val="21"/>
                <w:szCs w:val="21"/>
                <w:highlight w:val="none"/>
                <w:lang w:val="en-US" w:eastAsia="zh-CN"/>
                <w14:textFill>
                  <w14:solidFill>
                    <w14:schemeClr w14:val="tx1"/>
                  </w14:solidFill>
                </w14:textFill>
              </w:rPr>
              <w:t xml:space="preserve">小计（7)</w:t>
            </w:r>
            <w:r/>
          </w:p>
        </w:tc>
        <w:tc>
          <w:tcPr>
            <w:tcW w:w="242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503" w:type="dxa"/>
            <w:vAlign w:val="center"/>
            <w:textDirection w:val="lrTb"/>
            <w:noWrap w:val="false"/>
          </w:tcPr>
          <w:p>
            <w:pPr>
              <w:ind w:right="-105"/>
              <w:jc w:val="center"/>
              <w:spacing w:line="340" w:lineRule="exact"/>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八</w:t>
            </w:r>
            <w:r/>
          </w:p>
        </w:tc>
        <w:tc>
          <w:tcPr>
            <w:gridSpan w:val="5"/>
            <w:tcW w:w="9673" w:type="dxa"/>
            <w:vAlign w:val="center"/>
            <w:textDirection w:val="lrTb"/>
            <w:noWrap w:val="false"/>
          </w:tcPr>
          <w:p>
            <w:pPr>
              <w:jc w:val="left"/>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t xml:space="preserve"> 电子哨兵系统</w:t>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8.1</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哨兵相机（含柱状支架、臂装支架转接件）</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柱状支架</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臂装支架转接件</w:t>
            </w:r>
            <w:r/>
          </w:p>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具体参数、做法详见图纸设计及采购需求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36"/>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8.2</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交通信息发布屏</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1）物理间距：P10；</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2）像素组成：红绿双基色（支持红，绿，黄三种颜色显示）</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3）显示尺寸：1280mm×640mm</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4）亮度：≥6000cd/m2；</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5）显示内容：支持发布中文、英文、数字、简单图片；</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6）显示方式：支持静止显示、翻页显示、滚动显示；</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7）字体：支持16/24/32号字体；</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8（语音：支持万能语音播报；</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9）防护等级：IP54；</w:t>
            </w:r>
            <w:r/>
          </w:p>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8.3</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暖光LED常亮灯</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暖光LED常亮灯</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1)灯珠数量:≥16颗LED 光源;</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2)照射距离不小于20米</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3)光斑覆盖范围:不低于3车道;</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4)中心光照度:LED:&lt;40lx(20m光照度);</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5)亮度调节:1~20级亮度可调;</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6)支持外置光栅防眩目处理;</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7)供电方式:AC100–240V;</w:t>
            </w:r>
            <w:r/>
          </w:p>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8.4</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4路智能终端管理盒</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cs="Tahoma"/>
                <w:color w:val="000000" w:themeColor="text1"/>
                <w:sz w:val="21"/>
                <w:szCs w:val="21"/>
                <w:highlight w:val="none"/>
                <w14:textFill>
                  <w14:solidFill>
                    <w14:schemeClr w14:val="tx1"/>
                  </w14:solidFill>
                </w14:textFill>
              </w:rPr>
              <w:t xml:space="preserve">4路智能终端管理盒</w:t>
            </w:r>
            <w:r/>
          </w:p>
          <w:p>
            <w:pPr>
              <w:jc w:val="center"/>
              <w:keepLines w:val="0"/>
              <w:keepNext w:val="0"/>
              <w:widowControl/>
              <w:rPr>
                <w:rFonts w:hint="eastAsia" w:eastAsia="宋体" w:cs="Tahoma"/>
                <w:color w:val="000000" w:themeColor="text1"/>
                <w:sz w:val="21"/>
                <w:szCs w:val="21"/>
                <w:highlight w:val="none"/>
                <w:lang w:eastAsia="zh-CN"/>
                <w14:textFill>
                  <w14:solidFill>
                    <w14:schemeClr w14:val="tx1"/>
                  </w14:solidFill>
                </w14:textFill>
              </w:rPr>
              <w:suppressLineNumbers w:val="0"/>
            </w:pPr>
            <w:r>
              <w:rPr>
                <w:rFonts w:hint="eastAsia" w:cs="Tahoma"/>
                <w:color w:val="000000" w:themeColor="text1"/>
                <w:sz w:val="21"/>
                <w:szCs w:val="21"/>
                <w:highlight w:val="none"/>
                <w14:textFill>
                  <w14:solidFill>
                    <w14:schemeClr w14:val="tx1"/>
                  </w14:solidFill>
                </w14:textFill>
              </w:rPr>
              <w:t xml:space="preserve">具体参数、做法详见图纸设计及采购需求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8.5</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2m横臂,含杆件和基础（开挖、回填、碎石、C30砼、钢筋、模板、杆件、基础笼等）</w:t>
            </w:r>
            <w:r/>
          </w:p>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8.6</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6m横臂,含杆件和基础（开挖、回填、碎石、C30砼、钢筋、模板、杆件、基础笼等）</w:t>
            </w:r>
            <w:r/>
          </w:p>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8.7</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顶管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含过路2根φ75PE管</w:t>
            </w:r>
            <w:r/>
          </w:p>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8.8</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窨井</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窨井（井深暂按1350）</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开挖、回填、C30混凝土基础、M10砂浆砌MU10机制砖、C30混凝土现浇、M10防水水泥砂浆抹面、铸铁井盖、模板</w:t>
            </w:r>
            <w:r/>
          </w:p>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座</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8.9</w:t>
            </w:r>
            <w:r/>
          </w:p>
        </w:tc>
        <w:tc>
          <w:tcPr>
            <w:tcW w:w="4077" w:type="dxa"/>
            <w:vAlign w:val="center"/>
            <w:textDirection w:val="lrTb"/>
            <w:noWrap w:val="false"/>
          </w:tcPr>
          <w:p>
            <w:pPr>
              <w:jc w:val="center"/>
              <w:keepLines w:val="0"/>
              <w:keepNext w:val="0"/>
              <w:widowControl/>
              <w:rPr>
                <w:rFonts w:hint="eastAsia" w:ascii="Arial" w:hAnsi="Arial" w:eastAsia="Arial"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配线</w:t>
            </w:r>
            <w:r/>
          </w:p>
        </w:tc>
        <w:tc>
          <w:tcPr>
            <w:tcW w:w="2427" w:type="dxa"/>
            <w:vAlign w:val="center"/>
            <w:textDirection w:val="lrTb"/>
            <w:noWrap w:val="false"/>
          </w:tcPr>
          <w:p>
            <w:pPr>
              <w:jc w:val="center"/>
              <w:keepLines w:val="0"/>
              <w:keepNext w:val="0"/>
              <w:widowControl/>
              <w:rPr>
                <w:rFonts w:hint="eastAsia" w:ascii="Arial" w:hAnsi="Arial"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RVV-12*1.5,按实计量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Arial" w:hAnsi="Arial" w:eastAsia="Arial" w:cs="Arial"/>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ascii="Arial" w:hAnsi="Arial" w:eastAsia="Arial" w:cs="Arial"/>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350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8.10</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配线</w:t>
            </w:r>
            <w:r/>
          </w:p>
        </w:tc>
        <w:tc>
          <w:tcPr>
            <w:tcW w:w="2427" w:type="dxa"/>
            <w:vAlign w:val="center"/>
            <w:textDirection w:val="lrTb"/>
            <w:noWrap w:val="false"/>
          </w:tcPr>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 4*1.5,按实计量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8.11</w:t>
            </w:r>
            <w:r/>
          </w:p>
        </w:tc>
        <w:tc>
          <w:tcPr>
            <w:tcW w:w="4077" w:type="dxa"/>
            <w:vAlign w:val="center"/>
            <w:textDirection w:val="lrTb"/>
            <w:noWrap w:val="false"/>
          </w:tcPr>
          <w:p>
            <w:pPr>
              <w:jc w:val="center"/>
              <w:keepLines w:val="0"/>
              <w:keepNext w:val="0"/>
              <w:widowControl/>
              <w:rPr>
                <w:rFonts w:hint="eastAsia"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配线</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RVV-3×1.5,按实计量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8.12</w:t>
            </w:r>
            <w:r/>
          </w:p>
        </w:tc>
        <w:tc>
          <w:tcPr>
            <w:tcW w:w="4077" w:type="dxa"/>
            <w:vAlign w:val="center"/>
            <w:textDirection w:val="lrTb"/>
            <w:noWrap w:val="false"/>
          </w:tcPr>
          <w:p>
            <w:pPr>
              <w:jc w:val="center"/>
              <w:keepLines w:val="0"/>
              <w:keepNext w:val="0"/>
              <w:widowControl/>
              <w:rPr>
                <w:rFonts w:hint="eastAsia"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信号线缆（信号机通讯用）</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超5类网络线(5M成品网线)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8.13</w:t>
            </w:r>
            <w:r/>
          </w:p>
        </w:tc>
        <w:tc>
          <w:tcPr>
            <w:tcW w:w="4077" w:type="dxa"/>
            <w:vAlign w:val="center"/>
            <w:textDirection w:val="lrTb"/>
            <w:noWrap w:val="false"/>
          </w:tcPr>
          <w:p>
            <w:pPr>
              <w:jc w:val="center"/>
              <w:keepLines w:val="0"/>
              <w:keepNext w:val="0"/>
              <w:widowControl/>
              <w:rPr>
                <w:rFonts w:hint="eastAsia"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供电接电手续资料</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供电接电手续资料</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中标方承担二年电费,公安交警部门不提供开户手续资料同时质保期后不承担电费。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8.14</w:t>
            </w:r>
            <w:r/>
          </w:p>
        </w:tc>
        <w:tc>
          <w:tcPr>
            <w:tcW w:w="4077" w:type="dxa"/>
            <w:vAlign w:val="center"/>
            <w:textDirection w:val="lrTb"/>
            <w:noWrap w:val="false"/>
          </w:tcPr>
          <w:p>
            <w:pPr>
              <w:jc w:val="center"/>
              <w:keepLines w:val="0"/>
              <w:keepNext w:val="0"/>
              <w:widowControl/>
              <w:rPr>
                <w:rFonts w:hint="eastAsia"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YJV-2×16mm2,按实计量</w:t>
            </w:r>
            <w:r/>
          </w:p>
          <w:p>
            <w:pPr>
              <w:jc w:val="center"/>
              <w:keepLines w:val="0"/>
              <w:keepNext w:val="0"/>
              <w:widowControl/>
              <w:rPr>
                <w:rFonts w:hint="eastAsia"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bidi="ar-SA"/>
                <w14:textFill>
                  <w14:solidFill>
                    <w14:schemeClr w14:val="tx1"/>
                  </w14:solidFill>
                </w14:textFill>
              </w:rPr>
              <w:t xml:space="preserve">8.15</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接电控制柜</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接电控制柜</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600mm×450mm×1200mm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箱体采用不锈钢,板厚不小于1.2mm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ascii="Calibri" w:hAnsi="Calibri" w:eastAsia="宋体" w:cs="Times New Roman"/>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8.16</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电缆标示桩</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10CM*10CM*70CM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电缆保护标志桩为定制标准件,材质采用PVC或玻璃钢材质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8.17</w:t>
            </w:r>
            <w:r/>
          </w:p>
        </w:tc>
        <w:tc>
          <w:tcPr>
            <w:tcW w:w="407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PEФ40MM*30MM*3MM,按实计量</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8.18</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控制漏电保护器</w:t>
            </w:r>
            <w:r/>
          </w:p>
        </w:tc>
        <w:tc>
          <w:tcPr>
            <w:tcW w:w="2427" w:type="dxa"/>
            <w:vAlign w:val="center"/>
            <w:textDirection w:val="lrTb"/>
            <w:noWrap w:val="false"/>
          </w:tcPr>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控制漏电保护器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自动复位1A*63A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eastAsi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8.19</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双批开关</w:t>
            </w:r>
            <w:r/>
          </w:p>
        </w:tc>
        <w:tc>
          <w:tcPr>
            <w:tcW w:w="2427" w:type="dxa"/>
            <w:vAlign w:val="center"/>
            <w:textDirection w:val="lrTb"/>
            <w:noWrap w:val="false"/>
          </w:tcPr>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双批开关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8.20</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双批保护器</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双批保护器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8.21</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顶管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供电接电线路过路顶管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φ40硅芯管*2</w:t>
            </w:r>
            <w:r/>
          </w:p>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8.22</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挖槽</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开挖、回填60CM*30CM</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长度为预估,距离以现场实际为准</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根据现场自行勘察，自行考虑；</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8.23</w:t>
            </w:r>
            <w:r/>
          </w:p>
        </w:tc>
        <w:tc>
          <w:tcPr>
            <w:tcW w:w="4077" w:type="dxa"/>
            <w:vAlign w:val="center"/>
            <w:textDirection w:val="lrTb"/>
            <w:noWrap w:val="false"/>
          </w:tcPr>
          <w:p>
            <w:pPr>
              <w:jc w:val="center"/>
              <w:keepLines w:val="0"/>
              <w:keepNext w:val="0"/>
              <w:widowControl/>
              <w:rPr>
                <w:rFonts w:hint="eastAsia"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插座</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插座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三眼*10组</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8.24</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低压避雷器</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低压避雷器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防雷20-80KA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8.25</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运营商链路</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运营商链路</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条</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小计（</w:t>
            </w:r>
            <w:r>
              <w:rPr>
                <w:rFonts w:hint="eastAsia" w:eastAsia="宋体"/>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九</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  无人机方舱</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9.1</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无人机小型机场</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Calibri" w:hAnsi="Calibri" w:eastAsia="宋体" w:cs="Tahoma"/>
                <w:color w:val="000000" w:themeColor="text1"/>
                <w:sz w:val="21"/>
                <w:szCs w:val="21"/>
                <w:highlight w:val="none"/>
                <w:lang w:val="en-US" w:eastAsia="zh-CN" w:bidi="ar-SA"/>
                <w14:textFill>
                  <w14:solidFill>
                    <w14:schemeClr w14:val="tx1"/>
                  </w14:solidFill>
                </w14:textFill>
              </w:rPr>
              <w:t xml:space="preserve">无人机小型机场</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Calibri" w:hAnsi="Calibri" w:eastAsia="宋体" w:cs="Tahoma"/>
                <w:color w:val="000000" w:themeColor="text1"/>
                <w:sz w:val="21"/>
                <w:szCs w:val="21"/>
                <w:highlight w:val="none"/>
                <w:lang w:val="en-US" w:eastAsia="zh-CN" w:bidi="ar-SA"/>
                <w14:textFill>
                  <w14:solidFill>
                    <w14:schemeClr w14:val="tx1"/>
                  </w14:solidFill>
                </w14:textFill>
              </w:rPr>
              <w:t xml:space="preserve">高速路口、西偏泓路口、荷花大道路口、420与247路口</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Calibri" w:hAnsi="Calibri" w:eastAsia="宋体" w:cs="Tahoma"/>
                <w:color w:val="000000" w:themeColor="text1"/>
                <w:sz w:val="21"/>
                <w:szCs w:val="21"/>
                <w:highlight w:val="none"/>
                <w:lang w:val="en-US" w:eastAsia="zh-CN" w:bidi="ar-SA"/>
                <w14:textFill>
                  <w14:solidFill>
                    <w14:schemeClr w14:val="tx1"/>
                  </w14:solidFill>
                </w14:textFill>
              </w:rPr>
              <w:t xml:space="preserve">具体参数、做法详见图纸设计及采购需求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9.2</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设备保险服务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设备保险服务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包含两年机库及飞机设备的原厂保障服务。包含所投设备(所有零部件，易损件，电池等消耗品)的机损、维修服务。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高速路口、西偏泓路口、荷花大道路口、420与247路口</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787"/>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cs="Arial"/>
                <w:b w:val="0"/>
                <w:bCs w:val="0"/>
                <w:color w:val="000000" w:themeColor="text1"/>
                <w:sz w:val="21"/>
                <w:szCs w:val="21"/>
                <w:highlight w:val="none"/>
                <w:lang w:val="en-US" w:eastAsia="zh-CN" w:bidi="ar-SA"/>
                <w14:textFill>
                  <w14:solidFill>
                    <w14:schemeClr w14:val="tx1"/>
                  </w14:solidFill>
                </w14:textFill>
              </w:rPr>
              <w:t xml:space="preserve">9.3</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无人机三责险</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第三者责任险多(100万/年)，共计两年</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高速路口、西偏泓路口、荷花大道路口、420与247路口</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cs="Arial"/>
                <w:b w:val="0"/>
                <w:bCs w:val="0"/>
                <w:color w:val="000000" w:themeColor="text1"/>
                <w:sz w:val="21"/>
                <w:szCs w:val="21"/>
                <w:highlight w:val="none"/>
                <w:lang w:val="en-US" w:eastAsia="zh-CN" w:bidi="ar-SA"/>
                <w14:textFill>
                  <w14:solidFill>
                    <w14:schemeClr w14:val="tx1"/>
                  </w14:solidFill>
                </w14:textFill>
              </w:rPr>
              <w:t xml:space="preserve">9.4</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备用电池</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电池需适配所投无人机</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充电循环次数≥200次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高速路口、西偏泓路口、荷花大道路口、420与247路口</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cs="Arial"/>
                <w:b w:val="0"/>
                <w:bCs w:val="0"/>
                <w:color w:val="000000" w:themeColor="text1"/>
                <w:sz w:val="21"/>
                <w:szCs w:val="21"/>
                <w:highlight w:val="none"/>
                <w:lang w:val="en-US" w:eastAsia="zh-CN" w:bidi="ar-SA"/>
                <w14:textFill>
                  <w14:solidFill>
                    <w14:schemeClr w14:val="tx1"/>
                  </w14:solidFill>
                </w14:textFill>
              </w:rPr>
              <w:t xml:space="preserve">9.5</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探照灯</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含支架安装尺寸:≤100x170x30 mm</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重量:≤100g</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最大功耗:≥30W</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安装方式:快拆手拧螺丝，可同时安装喊话器</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高速路口、西偏泓路口、荷花大道路口、420与247路口</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9.6</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喊话器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含支架安装尺寸:≤75x70x55 mm</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重量:≤100g；</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一米处声压缓:≥100dB；</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广播距离：≥200米；</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最大功耗：≥15W；</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安装方式:快拆手拧螺丝，可同时安装探照灯</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高速路口、西偏泓路口、荷花大道路口、420与247路口</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9.7</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增强图传模块</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增强图传模块可将设备接入4G网络，实现增强图传等多项功能。</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高速路口、西偏泓路口、荷花大道路口、420与247路口</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9.8</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行业版遥控器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天线:≥4天线</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工作频段:支持 2.4G、5.8G 图传</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显示器分辨率:地面站显示器应采用触摸屏，屏幕显示分辨率≥1920*1080p</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显示器亮度:显示器亮度≥1400尼特</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遥控器 4G 增强图传:支持4G增强图传模块，提升图传稳定性</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遥控器重量:不带外置电池重量≤1.2kg</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接口:支持的接口包括HDMI 1.4，SD3.0，Type-C支持 0TG，支持PD充电，USB-A遥控器支持外置电池</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最大信号有效距离(无干扰、无遮挡):≥20公里(FCC)10</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公里(CE/SRRC/MIC)</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高速路口、西偏泓路口、荷花大道路口、420与247路口</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9.9</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无人机信号中继固定站</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中继站系统精度</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基站定位误差:</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单点精度(未标定):</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水平:1.5 米(RMS)，垂直:3.0米(RMS)</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星基差分精度:</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收敛{时间:20 分钟</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水平:30厘米(RMS)垂直:40厘米(RMS)</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 RTK 标定:</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水平:1.0厘米(RMS)+1 ppm</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垂直:3.0 厘米(RMS)+1 ppm</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中继站图传工作频率:2.4GHz/5.2GHz/5.8GHz</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功率 ≥10 瓦</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内置电池工作时间≥3 小时</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工作环境温度:优于-20℃至50°C</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高速路口、西偏泓路口、荷花大道路口、420与247路口</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Calibri" w:hAnsi="Calibri" w:eastAsia="宋体" w:cs="Times New Roman"/>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9.10</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运维保养费用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运维保养费用</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包含两年机库及飞机的运维保养服务，现场保养不低于一个季度一次。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高速路口、西偏泓路口、荷花大道路口、420与247路口</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r>
            <w:r/>
          </w:p>
        </w:tc>
        <w:tc>
          <w:tcPr>
            <w:tcW w:w="4077" w:type="dxa"/>
            <w:vAlign w:val="center"/>
            <w:textDirection w:val="lrTb"/>
            <w:noWrap w:val="false"/>
          </w:tcPr>
          <w:p>
            <w:pPr>
              <w:rPr>
                <w:rFonts w:hint="default" w:ascii="Calibri" w:hAnsi="Calibri" w:eastAsia="宋体" w:cs="Tahoma"/>
                <w:b w:val="0"/>
                <w:bCs w:val="0"/>
                <w:color w:val="000000" w:themeColor="text1"/>
                <w:sz w:val="21"/>
                <w:szCs w:val="21"/>
                <w:highlight w:val="none"/>
                <w:lang w:val="en-US" w:eastAsia="zh-CN" w:bidi="ar-SA"/>
                <w14:textFill>
                  <w14:solidFill>
                    <w14:schemeClr w14:val="tx1"/>
                  </w14:solidFill>
                </w14:textFill>
              </w:rPr>
            </w:pPr>
            <w:r>
              <w:rPr>
                <w:rFonts w:hint="eastAsia" w:eastAsia="宋体"/>
                <w:b w:val="0"/>
                <w:bCs w:val="0"/>
                <w:color w:val="000000" w:themeColor="text1"/>
                <w:sz w:val="21"/>
                <w:szCs w:val="21"/>
                <w:highlight w:val="none"/>
                <w:lang w:eastAsia="zh-CN"/>
                <w14:textFill>
                  <w14:solidFill>
                    <w14:schemeClr w14:val="tx1"/>
                  </w14:solidFill>
                </w14:textFill>
              </w:rPr>
              <w:t xml:space="preserve">小计（</w:t>
            </w:r>
            <w:r>
              <w:rPr>
                <w:rFonts w:hint="eastAsia" w:eastAsia="宋体"/>
                <w:b w:val="0"/>
                <w:bCs w:val="0"/>
                <w:color w:val="000000" w:themeColor="text1"/>
                <w:sz w:val="21"/>
                <w:szCs w:val="21"/>
                <w:highlight w:val="none"/>
                <w:lang w:val="en-US" w:eastAsia="zh-CN"/>
                <w14:textFill>
                  <w14:solidFill>
                    <w14:schemeClr w14:val="tx1"/>
                  </w14:solidFill>
                </w14:textFill>
              </w:rPr>
              <w:t xml:space="preserve">9</w:t>
            </w:r>
            <w:r>
              <w:rPr>
                <w:rFonts w:hint="eastAsia" w:eastAsia="宋体"/>
                <w:b w:val="0"/>
                <w:bCs w:val="0"/>
                <w:color w:val="000000" w:themeColor="text1"/>
                <w:sz w:val="21"/>
                <w:szCs w:val="21"/>
                <w:highlight w:val="none"/>
                <w:lang w:eastAsia="zh-CN"/>
                <w14:textFill>
                  <w14:solidFill>
                    <w14:schemeClr w14:val="tx1"/>
                  </w14:solidFill>
                </w14:textFill>
              </w:rPr>
              <w:t xml:space="preserve">）</w:t>
            </w:r>
            <w:r/>
          </w:p>
        </w:tc>
        <w:tc>
          <w:tcPr>
            <w:tcW w:w="2427" w:type="dxa"/>
            <w:vAlign w:val="center"/>
            <w:textDirection w:val="lrTb"/>
            <w:noWrap w:val="false"/>
          </w:tcPr>
          <w:p>
            <w:pPr>
              <w:jc w:val="center"/>
              <w:rPr>
                <w:rFonts w:hint="default" w:ascii="Calibri" w:hAnsi="Calibri" w:eastAsia="宋体" w:cs="Tahoma"/>
                <w:color w:val="000000" w:themeColor="text1"/>
                <w:sz w:val="21"/>
                <w:szCs w:val="21"/>
                <w:highlight w:val="none"/>
                <w:lang w:val="en-US" w:eastAsia="zh-CN" w:bidi="ar-SA"/>
                <w14:textFill>
                  <w14:solidFill>
                    <w14:schemeClr w14:val="tx1"/>
                  </w14:solidFill>
                </w14:textFill>
              </w:rPr>
            </w:pPr>
            <w:r>
              <w:rPr>
                <w:rFonts w:hint="default" w:ascii="Calibri" w:hAnsi="Calibri" w:eastAsia="宋体" w:cs="Tahoma"/>
                <w:color w:val="000000" w:themeColor="text1"/>
                <w:sz w:val="21"/>
                <w:szCs w:val="21"/>
                <w:highlight w:val="none"/>
                <w:lang w:val="en-US" w:eastAsia="zh-CN" w:bidi="ar-SA"/>
                <w14:textFill>
                  <w14:solidFill>
                    <w14:schemeClr w14:val="tx1"/>
                  </w14:solidFill>
                </w14:textFill>
              </w:rPr>
            </w:r>
            <w:r/>
          </w:p>
        </w:tc>
        <w:tc>
          <w:tcPr>
            <w:tcW w:w="503" w:type="dxa"/>
            <w:vAlign w:val="center"/>
            <w:textDirection w:val="lrTb"/>
            <w:noWrap w:val="false"/>
          </w:tcPr>
          <w:p>
            <w:pPr>
              <w:ind w:right="-105"/>
              <w:jc w:val="center"/>
              <w:spacing w:line="340" w:lineRule="exact"/>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pPr>
            <w:r>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r>
            <w:r/>
          </w:p>
        </w:tc>
        <w:tc>
          <w:tcPr>
            <w:tcW w:w="692" w:type="dxa"/>
            <w:vAlign w:val="center"/>
            <w:textDirection w:val="lrTb"/>
            <w:noWrap w:val="false"/>
          </w:tcPr>
          <w:p>
            <w:pPr>
              <w:jc w:val="center"/>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pPr>
            <w:r>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cs="Arial"/>
                <w:b w:val="0"/>
                <w:bCs w:val="0"/>
                <w:color w:val="000000" w:themeColor="text1"/>
                <w:sz w:val="21"/>
                <w:szCs w:val="21"/>
                <w:highlight w:val="none"/>
                <w:lang w:val="en-US" w:eastAsia="zh-CN" w:bidi="ar-SA"/>
                <w14:textFill>
                  <w14:solidFill>
                    <w14:schemeClr w14:val="tx1"/>
                  </w14:solidFill>
                </w14:textFill>
              </w:rPr>
              <w:t xml:space="preserve">十</w:t>
            </w:r>
            <w:r/>
          </w:p>
        </w:tc>
        <w:tc>
          <w:tcPr>
            <w:gridSpan w:val="5"/>
            <w:tcW w:w="9673" w:type="dxa"/>
            <w:vAlign w:val="center"/>
            <w:textDirection w:val="lrTb"/>
            <w:noWrap w:val="false"/>
          </w:tcPr>
          <w:p>
            <w:pPr>
              <w:jc w:val="left"/>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t xml:space="preserve"> 行人和非机动车电子劝导员及非机动车闯红灯系统工程数量表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10.1</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监控摄像设备</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1200万行人闯红灯抓拍单元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1200万相机抓拍</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78</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10.2</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w:t>
            </w:r>
            <w:r/>
          </w:p>
        </w:tc>
        <w:tc>
          <w:tcPr>
            <w:tcW w:w="2427" w:type="dxa"/>
            <w:vAlign w:val="center"/>
            <w:textDirection w:val="lrTb"/>
            <w:noWrap w:val="false"/>
          </w:tcPr>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LED频闪灯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78</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10.3</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音柱</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户外音柱</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78</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10.4</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终端管理设备</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终端管理设备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10.5</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红绿灯信号检测器</w:t>
            </w:r>
            <w:r/>
          </w:p>
        </w:tc>
        <w:tc>
          <w:tcPr>
            <w:tcW w:w="2427" w:type="dxa"/>
            <w:vAlign w:val="center"/>
            <w:textDirection w:val="lrTb"/>
            <w:noWrap w:val="false"/>
          </w:tcPr>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红绿灯信号检测器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10.6</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配套杆件</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配套杆件及基础（开挖、回填、C30砼、模板、杆件、基础笼等）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每套基础尺寸0.8*0.8*1m,共8套</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立柱高4m,壁厚4mm,外径120mm</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供电接电保护装置</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78</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10.7</w:t>
            </w:r>
            <w:r/>
          </w:p>
        </w:tc>
        <w:tc>
          <w:tcPr>
            <w:tcW w:w="4077" w:type="dxa"/>
            <w:vAlign w:val="center"/>
            <w:textDirection w:val="lrTb"/>
            <w:noWrap w:val="false"/>
          </w:tcPr>
          <w:p>
            <w:pPr>
              <w:jc w:val="center"/>
              <w:keepLines w:val="0"/>
              <w:keepNext w:val="0"/>
              <w:widowControl/>
              <w:rPr>
                <w:rFonts w:hint="eastAsia" w:ascii="Arial" w:hAnsi="Arial" w:eastAsia="Arial"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顶管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顶管施工2根φ75PE管,壁厚5mm</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Arial" w:hAnsi="Arial" w:eastAsia="Arial" w:cs="Arial"/>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ascii="Arial" w:hAnsi="Arial" w:eastAsia="Arial" w:cs="Arial"/>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1240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10.8</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窨井</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窨井（井深暂按1350）</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开挖、回填、C30混凝土基础、M10砂浆砌MU10机制砖、C30混凝土现浇、M10防水水泥砂浆抹面、铸铁井盖、模板</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座</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10.9</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交通智能系统调试</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调试</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r>
            <w:r/>
          </w:p>
        </w:tc>
        <w:tc>
          <w:tcPr>
            <w:tcW w:w="4077" w:type="dxa"/>
            <w:vAlign w:val="center"/>
            <w:textDirection w:val="lrTb"/>
            <w:noWrap w:val="false"/>
          </w:tcPr>
          <w:p>
            <w:pPr>
              <w:jc w:val="left"/>
              <w:keepLines w:val="0"/>
              <w:keepNext w:val="0"/>
              <w:widowControl/>
              <w:tabs>
                <w:tab w:val="left" w:pos="449"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小计（10）</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十一</w:t>
            </w:r>
            <w:r/>
          </w:p>
        </w:tc>
        <w:tc>
          <w:tcPr>
            <w:gridSpan w:val="5"/>
            <w:tcW w:w="9673" w:type="dxa"/>
            <w:vAlign w:val="center"/>
            <w:textDirection w:val="lrTb"/>
            <w:noWrap w:val="false"/>
          </w:tcPr>
          <w:p>
            <w:pPr>
              <w:jc w:val="left"/>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t xml:space="preserve"> 声光电定向声波系统工程数量表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11.1</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爆闪灯+定向声波(2组)</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11.2</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重复显示器</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LED显示屏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11.3</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爆闪灯+定向声波(4组)</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11.4</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室外型网络线</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室外六类屏蔽双绞线,据实际量,含水晶头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800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11.5</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电源线</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国标RVV2x1.5mm2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800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11.6</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多功能插座</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多功能插座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国标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11.7</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系统软件</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系统软件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后端管理平台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Calibri" w:hAnsi="Calibri" w:eastAsia="宋体" w:cs="Times New Roman"/>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11.8</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网络监听音箱</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网络监听音箱</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后端管理平台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11.9</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网络话筒</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网络话筒</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后端管理平台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 </w:t>
            </w:r>
            <w:r/>
          </w:p>
        </w:tc>
        <w:tc>
          <w:tcPr>
            <w:tcW w:w="4077" w:type="dxa"/>
            <w:vAlign w:val="center"/>
            <w:textDirection w:val="lrTb"/>
            <w:noWrap w:val="false"/>
          </w:tcPr>
          <w:p>
            <w:pPr>
              <w:rPr>
                <w:rFonts w:hint="default" w:ascii="Calibri" w:hAnsi="Calibri" w:eastAsia="宋体" w:cs="Tahoma"/>
                <w:b w:val="0"/>
                <w:bCs w:val="0"/>
                <w:color w:val="000000" w:themeColor="text1"/>
                <w:sz w:val="21"/>
                <w:szCs w:val="21"/>
                <w:highlight w:val="none"/>
                <w:lang w:val="en-US" w:eastAsia="zh-CN" w:bidi="ar-SA"/>
                <w14:textFill>
                  <w14:solidFill>
                    <w14:schemeClr w14:val="tx1"/>
                  </w14:solidFill>
                </w14:textFill>
              </w:rPr>
            </w:pPr>
            <w:r>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t xml:space="preserve">小计（11）</w:t>
            </w:r>
            <w:r/>
          </w:p>
        </w:tc>
        <w:tc>
          <w:tcPr>
            <w:tcW w:w="2427" w:type="dxa"/>
            <w:vAlign w:val="center"/>
            <w:textDirection w:val="lrTb"/>
            <w:noWrap w:val="false"/>
          </w:tcPr>
          <w:p>
            <w:pPr>
              <w:jc w:val="center"/>
              <w:rPr>
                <w:rFonts w:hint="default" w:ascii="Calibri" w:hAnsi="Calibri" w:eastAsia="宋体" w:cs="Tahoma"/>
                <w:color w:val="000000" w:themeColor="text1"/>
                <w:sz w:val="21"/>
                <w:szCs w:val="21"/>
                <w:highlight w:val="none"/>
                <w:lang w:val="en-US" w:eastAsia="zh-CN" w:bidi="ar-SA"/>
                <w14:textFill>
                  <w14:solidFill>
                    <w14:schemeClr w14:val="tx1"/>
                  </w14:solidFill>
                </w14:textFill>
              </w:rPr>
            </w:pPr>
            <w:r>
              <w:rPr>
                <w:rFonts w:hint="default" w:ascii="Calibri" w:hAnsi="Calibri" w:eastAsia="宋体" w:cs="Tahoma"/>
                <w:color w:val="000000" w:themeColor="text1"/>
                <w:sz w:val="21"/>
                <w:szCs w:val="21"/>
                <w:highlight w:val="none"/>
                <w:lang w:val="en-US" w:eastAsia="zh-CN" w:bidi="ar-SA"/>
                <w14:textFill>
                  <w14:solidFill>
                    <w14:schemeClr w14:val="tx1"/>
                  </w14:solidFill>
                </w14:textFill>
              </w:rPr>
            </w:r>
            <w:r/>
          </w:p>
        </w:tc>
        <w:tc>
          <w:tcPr>
            <w:tcW w:w="503" w:type="dxa"/>
            <w:vAlign w:val="center"/>
            <w:textDirection w:val="lrTb"/>
            <w:noWrap w:val="false"/>
          </w:tcPr>
          <w:p>
            <w:pPr>
              <w:ind w:right="-105"/>
              <w:jc w:val="center"/>
              <w:spacing w:line="340" w:lineRule="exact"/>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pPr>
            <w:r>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r>
            <w:r/>
          </w:p>
        </w:tc>
        <w:tc>
          <w:tcPr>
            <w:tcW w:w="692" w:type="dxa"/>
            <w:vAlign w:val="center"/>
            <w:textDirection w:val="lrTb"/>
            <w:noWrap w:val="false"/>
          </w:tcPr>
          <w:p>
            <w:pPr>
              <w:jc w:val="center"/>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pPr>
            <w:r>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十二</w:t>
            </w:r>
            <w:r/>
          </w:p>
        </w:tc>
        <w:tc>
          <w:tcPr>
            <w:gridSpan w:val="5"/>
            <w:tcW w:w="9673" w:type="dxa"/>
            <w:vAlign w:val="center"/>
            <w:textDirection w:val="lrTb"/>
            <w:noWrap w:val="false"/>
          </w:tcPr>
          <w:p>
            <w:pPr>
              <w:jc w:val="left"/>
              <w:rPr>
                <w:rFonts w:hint="eastAsia" w:eastAsia="宋体"/>
                <w:b w:val="0"/>
                <w:bCs w:val="0"/>
                <w:color w:val="000000" w:themeColor="text1"/>
                <w:sz w:val="21"/>
                <w:szCs w:val="21"/>
                <w:highlight w:val="none"/>
                <w:lang w:eastAsia="zh-CN"/>
                <w14:textFill>
                  <w14:solidFill>
                    <w14:schemeClr w14:val="tx1"/>
                  </w14:solidFill>
                </w14:textFill>
              </w:rPr>
            </w:pPr>
            <w:r>
              <w:rPr>
                <w:rFonts w:hint="eastAsia" w:eastAsia="宋体"/>
                <w:b w:val="0"/>
                <w:bCs w:val="0"/>
                <w:color w:val="000000" w:themeColor="text1"/>
                <w:sz w:val="21"/>
                <w:szCs w:val="21"/>
                <w:highlight w:val="none"/>
                <w:lang w:eastAsia="zh-CN"/>
                <w14:textFill>
                  <w14:solidFill>
                    <w14:schemeClr w14:val="tx1"/>
                  </w14:solidFill>
                </w14:textFill>
              </w:rPr>
              <w:t xml:space="preserve"> 行人过街预警系统</w:t>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12.1</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无线太阳能道钉</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无线太阳能道钉</w:t>
            </w:r>
            <w:r/>
          </w:p>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具体参数、做法详见图纸设计及采购需求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bidi="ar-SA"/>
                <w14:textFill>
                  <w14:solidFill>
                    <w14:schemeClr w14:val="tx1"/>
                  </w14:solidFill>
                </w14:textFill>
              </w:rPr>
            </w:r>
            <w:r/>
          </w:p>
        </w:tc>
        <w:tc>
          <w:tcPr>
            <w:tcW w:w="4077" w:type="dxa"/>
            <w:vAlign w:val="center"/>
            <w:textDirection w:val="lrTb"/>
            <w:noWrap w:val="false"/>
          </w:tcPr>
          <w:p>
            <w:pPr>
              <w:rPr>
                <w:rFonts w:hint="default" w:cs="Tahoma"/>
                <w:b w:val="0"/>
                <w:bCs w:val="0"/>
                <w:color w:val="000000" w:themeColor="text1"/>
                <w:sz w:val="21"/>
                <w:szCs w:val="21"/>
                <w:highlight w:val="none"/>
                <w:lang w:val="en-US" w:eastAsia="zh-CN"/>
                <w14:textFill>
                  <w14:solidFill>
                    <w14:schemeClr w14:val="tx1"/>
                  </w14:solidFill>
                </w14:textFill>
              </w:rPr>
            </w:pPr>
            <w:r>
              <w:rPr>
                <w:rFonts w:hint="eastAsia" w:cs="Tahoma"/>
                <w:b w:val="0"/>
                <w:bCs w:val="0"/>
                <w:color w:val="000000" w:themeColor="text1"/>
                <w:sz w:val="21"/>
                <w:szCs w:val="21"/>
                <w:highlight w:val="none"/>
                <w:lang w:val="en-US" w:eastAsia="zh-CN"/>
                <w14:textFill>
                  <w14:solidFill>
                    <w14:schemeClr w14:val="tx1"/>
                  </w14:solidFill>
                </w14:textFill>
              </w:rPr>
              <w:t xml:space="preserve">小计（12）</w:t>
            </w:r>
            <w:r/>
          </w:p>
        </w:tc>
        <w:tc>
          <w:tcPr>
            <w:tcW w:w="2427" w:type="dxa"/>
            <w:vAlign w:val="center"/>
            <w:textDirection w:val="lrTb"/>
            <w:noWrap w:val="false"/>
          </w:tcPr>
          <w:p>
            <w:pPr>
              <w:jc w:val="center"/>
              <w:rPr>
                <w:rFonts w:hint="eastAsia" w:cs="Tahoma"/>
                <w:color w:val="000000" w:themeColor="text1"/>
                <w:sz w:val="21"/>
                <w:szCs w:val="21"/>
                <w:highlight w:val="none"/>
                <w14:textFill>
                  <w14:solidFill>
                    <w14:schemeClr w14:val="tx1"/>
                  </w14:solidFill>
                </w14:textFill>
              </w:rPr>
            </w:pPr>
            <w:r>
              <w:rPr>
                <w:rFonts w:hint="eastAsia" w:cs="Tahoma"/>
                <w:color w:val="000000" w:themeColor="text1"/>
                <w:sz w:val="21"/>
                <w:szCs w:val="21"/>
                <w:highlight w:val="none"/>
                <w14:textFill>
                  <w14:solidFill>
                    <w14:schemeClr w14:val="tx1"/>
                  </w14:solidFill>
                </w14:textFill>
              </w:rPr>
            </w:r>
            <w:r/>
          </w:p>
        </w:tc>
        <w:tc>
          <w:tcPr>
            <w:tcW w:w="503" w:type="dxa"/>
            <w:vAlign w:val="center"/>
            <w:textDirection w:val="lrTb"/>
            <w:noWrap w:val="false"/>
          </w:tcPr>
          <w:p>
            <w:pPr>
              <w:ind w:right="-105"/>
              <w:jc w:val="center"/>
              <w:spacing w:line="340" w:lineRule="exact"/>
              <w:rPr>
                <w:rFonts w:hint="default"/>
                <w:b w:val="0"/>
                <w:bCs w:val="0"/>
                <w:color w:val="000000" w:themeColor="text1"/>
                <w:sz w:val="21"/>
                <w:szCs w:val="21"/>
                <w:highlight w:val="none"/>
                <w:lang w:val="en-US" w:eastAsia="zh-CN"/>
                <w14:textFill>
                  <w14:solidFill>
                    <w14:schemeClr w14:val="tx1"/>
                  </w14:solidFill>
                </w14:textFill>
              </w:rPr>
            </w:pPr>
            <w:r>
              <w:rPr>
                <w:rFonts w:hint="default"/>
                <w:b w:val="0"/>
                <w:bCs w:val="0"/>
                <w:color w:val="000000" w:themeColor="text1"/>
                <w:sz w:val="21"/>
                <w:szCs w:val="21"/>
                <w:highlight w:val="none"/>
                <w:lang w:val="en-US" w:eastAsia="zh-CN"/>
                <w14:textFill>
                  <w14:solidFill>
                    <w14:schemeClr w14:val="tx1"/>
                  </w14:solidFill>
                </w14:textFill>
              </w:rPr>
            </w:r>
            <w:r/>
          </w:p>
        </w:tc>
        <w:tc>
          <w:tcPr>
            <w:tcW w:w="692" w:type="dxa"/>
            <w:vAlign w:val="center"/>
            <w:textDirection w:val="lrTb"/>
            <w:noWrap w:val="false"/>
          </w:tcPr>
          <w:p>
            <w:pPr>
              <w:jc w:val="center"/>
              <w:rPr>
                <w:rFonts w:hint="default"/>
                <w:b w:val="0"/>
                <w:bCs w:val="0"/>
                <w:color w:val="000000" w:themeColor="text1"/>
                <w:sz w:val="21"/>
                <w:szCs w:val="21"/>
                <w:highlight w:val="none"/>
                <w:lang w:val="en-US" w:eastAsia="zh-CN"/>
                <w14:textFill>
                  <w14:solidFill>
                    <w14:schemeClr w14:val="tx1"/>
                  </w14:solidFill>
                </w14:textFill>
              </w:rPr>
            </w:pPr>
            <w:r>
              <w:rPr>
                <w:rFonts w:hint="default"/>
                <w:b w:val="0"/>
                <w:bCs w:val="0"/>
                <w:color w:val="000000" w:themeColor="text1"/>
                <w:sz w:val="21"/>
                <w:szCs w:val="21"/>
                <w:highlight w:val="none"/>
                <w:lang w:val="en-US" w:eastAsia="zh-CN"/>
                <w14:textFill>
                  <w14:solidFill>
                    <w14:schemeClr w14:val="tx1"/>
                  </w14:solidFill>
                </w14:textFill>
              </w:rPr>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bidi="ar-SA"/>
                <w14:textFill>
                  <w14:solidFill>
                    <w14:schemeClr w14:val="tx1"/>
                  </w14:solidFill>
                </w14:textFill>
              </w:rPr>
              <w:t xml:space="preserve">十三</w:t>
            </w:r>
            <w:r/>
          </w:p>
        </w:tc>
        <w:tc>
          <w:tcPr>
            <w:gridSpan w:val="5"/>
            <w:tcW w:w="9673" w:type="dxa"/>
            <w:vAlign w:val="center"/>
            <w:textDirection w:val="lrTb"/>
            <w:noWrap w:val="false"/>
          </w:tcPr>
          <w:p>
            <w:pPr>
              <w:jc w:val="left"/>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t xml:space="preserve"> 金湖县水利局路口隐患工程数量表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13.1</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减速让行标志</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减速让行标志▽700及基础（开挖、回填、C30砼、模板、杆件、标志板、灯具、按钮、基础笼等）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单柱式</w:t>
            </w:r>
            <w:r/>
          </w:p>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13.2</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前方路口提示标志</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前方路口提示标志及基础（开挖、回填、C30砼、模板、杆件、标志板、灯具、按钮、基础笼等）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单柱式</w:t>
            </w:r>
            <w:r/>
          </w:p>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13.3</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太阳能爆闪灯</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太阳能爆闪灯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附着式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13.4</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震动标线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13.5</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减速让行标线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r>
            <w:r/>
          </w:p>
        </w:tc>
        <w:tc>
          <w:tcPr>
            <w:tcW w:w="4077" w:type="dxa"/>
            <w:vAlign w:val="center"/>
            <w:textDirection w:val="lrTb"/>
            <w:noWrap w:val="false"/>
          </w:tcPr>
          <w:p>
            <w:pPr>
              <w:rPr>
                <w:rFonts w:hint="default" w:cs="Tahoma"/>
                <w:b w:val="0"/>
                <w:bCs w:val="0"/>
                <w:color w:val="000000" w:themeColor="text1"/>
                <w:sz w:val="21"/>
                <w:szCs w:val="21"/>
                <w:highlight w:val="none"/>
                <w:lang w:val="en-US" w:eastAsia="zh-CN"/>
                <w14:textFill>
                  <w14:solidFill>
                    <w14:schemeClr w14:val="tx1"/>
                  </w14:solidFill>
                </w14:textFill>
              </w:rPr>
            </w:pPr>
            <w:r>
              <w:rPr>
                <w:rFonts w:hint="eastAsia" w:cs="Tahoma"/>
                <w:b w:val="0"/>
                <w:bCs w:val="0"/>
                <w:color w:val="000000" w:themeColor="text1"/>
                <w:sz w:val="21"/>
                <w:szCs w:val="21"/>
                <w:highlight w:val="none"/>
                <w:lang w:val="en-US" w:eastAsia="zh-CN"/>
                <w14:textFill>
                  <w14:solidFill>
                    <w14:schemeClr w14:val="tx1"/>
                  </w14:solidFill>
                </w14:textFill>
              </w:rPr>
              <w:t xml:space="preserve">小计（13）</w:t>
            </w:r>
            <w:r/>
          </w:p>
        </w:tc>
        <w:tc>
          <w:tcPr>
            <w:tcW w:w="2427" w:type="dxa"/>
            <w:vAlign w:val="center"/>
            <w:textDirection w:val="lrTb"/>
            <w:noWrap w:val="false"/>
          </w:tcPr>
          <w:p>
            <w:pPr>
              <w:jc w:val="center"/>
              <w:rPr>
                <w:rFonts w:hint="eastAsia" w:cs="Tahoma"/>
                <w:color w:val="000000" w:themeColor="text1"/>
                <w:sz w:val="21"/>
                <w:szCs w:val="21"/>
                <w:highlight w:val="none"/>
                <w14:textFill>
                  <w14:solidFill>
                    <w14:schemeClr w14:val="tx1"/>
                  </w14:solidFill>
                </w14:textFill>
              </w:rPr>
            </w:pPr>
            <w:r>
              <w:rPr>
                <w:rFonts w:hint="eastAsia" w:cs="Tahoma"/>
                <w:color w:val="000000" w:themeColor="text1"/>
                <w:sz w:val="21"/>
                <w:szCs w:val="21"/>
                <w:highlight w:val="none"/>
                <w14:textFill>
                  <w14:solidFill>
                    <w14:schemeClr w14:val="tx1"/>
                  </w14:solidFill>
                </w14:textFill>
              </w:rPr>
            </w:r>
            <w:r/>
          </w:p>
        </w:tc>
        <w:tc>
          <w:tcPr>
            <w:tcW w:w="503" w:type="dxa"/>
            <w:vAlign w:val="center"/>
            <w:textDirection w:val="lrTb"/>
            <w:noWrap w:val="false"/>
          </w:tcPr>
          <w:p>
            <w:pPr>
              <w:ind w:right="-105"/>
              <w:jc w:val="center"/>
              <w:spacing w:line="340" w:lineRule="exact"/>
              <w:rPr>
                <w:rFonts w:hint="eastAsia"/>
                <w:b w:val="0"/>
                <w:bCs w:val="0"/>
                <w:color w:val="000000" w:themeColor="text1"/>
                <w:sz w:val="21"/>
                <w:szCs w:val="21"/>
                <w:highlight w:val="none"/>
                <w:lang w:val="en-US" w:eastAsia="zh-CN"/>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r>
            <w:r/>
          </w:p>
        </w:tc>
        <w:tc>
          <w:tcPr>
            <w:tcW w:w="692" w:type="dxa"/>
            <w:vAlign w:val="center"/>
            <w:textDirection w:val="lrTb"/>
            <w:noWrap w:val="false"/>
          </w:tcPr>
          <w:p>
            <w:pPr>
              <w:jc w:val="center"/>
              <w:rPr>
                <w:rFonts w:hint="eastAsia"/>
                <w:b w:val="0"/>
                <w:bCs w:val="0"/>
                <w:color w:val="000000" w:themeColor="text1"/>
                <w:sz w:val="21"/>
                <w:szCs w:val="21"/>
                <w:highlight w:val="none"/>
                <w:lang w:val="en-US" w:eastAsia="zh-CN"/>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526"/>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14</w:t>
            </w:r>
            <w:r/>
          </w:p>
        </w:tc>
        <w:tc>
          <w:tcPr>
            <w:tcW w:w="4077" w:type="dxa"/>
            <w:vAlign w:val="center"/>
            <w:textDirection w:val="lrTb"/>
            <w:noWrap w:val="false"/>
          </w:tcPr>
          <w:p>
            <w:pP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工程税金</w:t>
            </w:r>
            <w:r/>
          </w:p>
        </w:tc>
        <w:tc>
          <w:tcPr>
            <w:tcW w:w="2427"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503" w:type="dxa"/>
            <w:vAlign w:val="center"/>
            <w:textDirection w:val="lrTb"/>
            <w:noWrap w:val="false"/>
          </w:tcPr>
          <w:p>
            <w:pPr>
              <w:ind w:right="-105"/>
              <w:jc w:val="center"/>
              <w:spacing w:line="34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692"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974"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26"/>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15</w:t>
            </w:r>
            <w:r/>
          </w:p>
        </w:tc>
        <w:tc>
          <w:tcPr>
            <w:tcW w:w="4077" w:type="dxa"/>
            <w:vAlign w:val="center"/>
            <w:textDirection w:val="lrTb"/>
            <w:noWrap w:val="false"/>
          </w:tcPr>
          <w:p>
            <w:pP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项目总计</w:t>
            </w:r>
            <w:r/>
          </w:p>
        </w:tc>
        <w:tc>
          <w:tcPr>
            <w:tcW w:w="2427"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503" w:type="dxa"/>
            <w:vAlign w:val="center"/>
            <w:textDirection w:val="lrTb"/>
            <w:noWrap w:val="false"/>
          </w:tcPr>
          <w:p>
            <w:pPr>
              <w:ind w:right="-105"/>
              <w:jc w:val="center"/>
              <w:spacing w:line="34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692"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974"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pStyle w:val="1096"/>
        <w:jc w:val="both"/>
        <w:spacing w:line="360" w:lineRule="auto"/>
        <w:rPr>
          <w:rFonts w:hint="eastAsia"/>
          <w:b/>
          <w:bCs/>
          <w:sz w:val="28"/>
          <w:szCs w:val="28"/>
        </w:rPr>
      </w:pPr>
      <w:r>
        <w:rPr>
          <w:rFonts w:hint="eastAsia"/>
          <w:b/>
          <w:bCs/>
          <w:sz w:val="28"/>
          <w:szCs w:val="28"/>
        </w:rPr>
      </w:r>
      <w:r/>
    </w:p>
    <w:p>
      <w:pPr>
        <w:pStyle w:val="1096"/>
        <w:jc w:val="center"/>
        <w:spacing w:line="360" w:lineRule="auto"/>
        <w:rPr>
          <w:rFonts w:hint="eastAsia"/>
          <w:b/>
          <w:bCs/>
          <w:sz w:val="28"/>
          <w:szCs w:val="28"/>
        </w:rPr>
      </w:pPr>
      <w:r>
        <w:rPr>
          <w:rFonts w:hint="eastAsia"/>
          <w:b/>
          <w:bCs/>
          <w:sz w:val="28"/>
          <w:szCs w:val="28"/>
        </w:rPr>
      </w:r>
      <w:r/>
    </w:p>
    <w:p>
      <w:pPr>
        <w:pStyle w:val="1096"/>
        <w:jc w:val="center"/>
        <w:spacing w:line="360" w:lineRule="auto"/>
        <w:rPr>
          <w:rFonts w:hint="eastAsia"/>
          <w:b/>
          <w:bCs/>
          <w:sz w:val="28"/>
          <w:szCs w:val="28"/>
        </w:rPr>
      </w:pPr>
      <w:r>
        <w:rPr>
          <w:rFonts w:hint="eastAsia"/>
          <w:b/>
          <w:bCs/>
          <w:sz w:val="28"/>
          <w:szCs w:val="28"/>
        </w:rPr>
      </w:r>
      <w:r/>
    </w:p>
    <w:p>
      <w:pPr>
        <w:pStyle w:val="1096"/>
        <w:jc w:val="center"/>
        <w:spacing w:line="360" w:lineRule="auto"/>
        <w:rPr>
          <w:rFonts w:hint="eastAsia"/>
          <w:b/>
          <w:bCs/>
          <w:sz w:val="28"/>
          <w:szCs w:val="28"/>
        </w:rPr>
      </w:pPr>
      <w:r>
        <w:rPr>
          <w:rFonts w:hint="eastAsia"/>
          <w:b/>
          <w:bCs/>
          <w:sz w:val="28"/>
          <w:szCs w:val="28"/>
        </w:rPr>
      </w:r>
      <w:r/>
    </w:p>
    <w:p>
      <w:pPr>
        <w:pStyle w:val="1096"/>
        <w:jc w:val="center"/>
        <w:spacing w:line="360" w:lineRule="auto"/>
        <w:rPr>
          <w:rFonts w:hint="eastAsia"/>
          <w:b/>
          <w:bCs/>
          <w:sz w:val="28"/>
          <w:szCs w:val="28"/>
        </w:rPr>
      </w:pPr>
      <w:r>
        <w:rPr>
          <w:rFonts w:hint="eastAsia"/>
          <w:b/>
          <w:bCs/>
          <w:sz w:val="28"/>
          <w:szCs w:val="28"/>
        </w:rPr>
      </w:r>
      <w:r/>
    </w:p>
    <w:p>
      <w:pPr>
        <w:pStyle w:val="1096"/>
        <w:jc w:val="center"/>
        <w:spacing w:line="360" w:lineRule="auto"/>
        <w:rPr>
          <w:rFonts w:hint="eastAsia"/>
          <w:b/>
          <w:bCs/>
          <w:sz w:val="28"/>
          <w:szCs w:val="28"/>
        </w:rPr>
      </w:pPr>
      <w:r>
        <w:rPr>
          <w:rFonts w:hint="eastAsia"/>
          <w:b/>
          <w:bCs/>
          <w:sz w:val="28"/>
          <w:szCs w:val="28"/>
        </w:rPr>
      </w:r>
      <w:r/>
    </w:p>
    <w:p>
      <w:pPr>
        <w:pStyle w:val="1096"/>
        <w:jc w:val="center"/>
        <w:spacing w:line="360" w:lineRule="auto"/>
        <w:rPr>
          <w:rFonts w:hint="eastAsia"/>
          <w:b/>
          <w:bCs/>
          <w:sz w:val="28"/>
          <w:szCs w:val="28"/>
        </w:rPr>
      </w:pPr>
      <w:r>
        <w:rPr>
          <w:rFonts w:hint="eastAsia"/>
          <w:b/>
          <w:bCs/>
          <w:sz w:val="28"/>
          <w:szCs w:val="28"/>
        </w:rPr>
      </w:r>
      <w:r/>
    </w:p>
    <w:p>
      <w:pPr>
        <w:pStyle w:val="1096"/>
        <w:jc w:val="center"/>
        <w:spacing w:line="360" w:lineRule="auto"/>
        <w:rPr>
          <w:rFonts w:hint="eastAsia"/>
          <w:b/>
          <w:bCs/>
          <w:sz w:val="28"/>
          <w:szCs w:val="28"/>
        </w:rPr>
      </w:pPr>
      <w:r>
        <w:rPr>
          <w:rFonts w:hint="eastAsia"/>
          <w:b/>
          <w:bCs/>
          <w:sz w:val="28"/>
          <w:szCs w:val="28"/>
        </w:rPr>
      </w:r>
      <w:r/>
    </w:p>
    <w:p>
      <w:pPr>
        <w:pStyle w:val="1096"/>
        <w:jc w:val="center"/>
        <w:spacing w:line="360" w:lineRule="auto"/>
        <w:rPr>
          <w:rFonts w:hint="eastAsia"/>
          <w:b/>
          <w:bCs/>
          <w:sz w:val="28"/>
          <w:szCs w:val="28"/>
        </w:rPr>
      </w:pPr>
      <w:r>
        <w:rPr>
          <w:rFonts w:hint="eastAsia"/>
          <w:b/>
          <w:bCs/>
          <w:sz w:val="28"/>
          <w:szCs w:val="28"/>
        </w:rPr>
      </w:r>
      <w:r/>
    </w:p>
    <w:p>
      <w:pPr>
        <w:pStyle w:val="1096"/>
        <w:jc w:val="center"/>
        <w:spacing w:line="360" w:lineRule="auto"/>
        <w:rPr>
          <w:b/>
          <w:bCs/>
          <w:sz w:val="28"/>
          <w:szCs w:val="28"/>
        </w:rPr>
      </w:pPr>
      <w:r>
        <w:rPr>
          <w:rFonts w:hint="eastAsia"/>
          <w:b/>
          <w:bCs/>
          <w:sz w:val="28"/>
          <w:szCs w:val="28"/>
        </w:rPr>
        <w:t xml:space="preserve">二、主要设备及参数指标</w:t>
      </w:r>
      <w:r/>
    </w:p>
    <w:p>
      <w:pPr>
        <w:pStyle w:val="843"/>
        <w:ind w:left="0" w:firstLine="482"/>
        <w:rPr>
          <w:rFonts w:hint="eastAsia" w:ascii="宋体" w:hAnsi="宋体" w:eastAsia="宋体" w:cs="宋体"/>
          <w:b/>
          <w:color w:val="ff0000"/>
          <w:sz w:val="24"/>
          <w:lang w:eastAsia="zh-CN"/>
        </w:rPr>
      </w:pPr>
      <w:r>
        <w:rPr>
          <w:rFonts w:hint="eastAsia" w:ascii="宋体" w:hAnsi="宋体" w:eastAsia="宋体" w:cs="宋体"/>
          <w:b/>
          <w:color w:val="ff0000"/>
          <w:sz w:val="24"/>
          <w:lang w:eastAsia="zh-CN"/>
        </w:rPr>
        <w:t xml:space="preserve">以下标注“★”号为本次项目的实质性要求和条件，必须全部满足，有一项不满足负偏离的作无效标处理，参数允许正偏离。</w:t>
      </w:r>
      <w:r/>
    </w:p>
    <w:p>
      <w:pPr>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一、交通信号控制系统</w:t>
      </w:r>
      <w:r/>
    </w:p>
    <w:p>
      <w:pPr>
        <w:spacing w:line="360" w:lineRule="auto"/>
        <w:rPr>
          <w:rFonts w:hint="eastAsia" w:ascii="宋体" w:hAnsi="宋体" w:cs="宋体"/>
          <w:b/>
          <w:sz w:val="24"/>
          <w:highlight w:val="none"/>
          <w:lang w:val="en-US" w:eastAsia="zh-CN"/>
        </w:rPr>
      </w:pPr>
      <w:r>
        <w:rPr>
          <w:rFonts w:hint="eastAsia" w:ascii="宋体" w:hAnsi="宋体" w:cs="宋体"/>
          <w:b/>
          <w:sz w:val="24"/>
          <w:highlight w:val="none"/>
          <w:lang w:val="en-US" w:eastAsia="zh-CN"/>
        </w:rPr>
        <w:t xml:space="preserve">1.1</w:t>
      </w:r>
      <w:r>
        <w:rPr>
          <w:rFonts w:hint="eastAsia" w:ascii="宋体" w:hAnsi="宋体" w:eastAsia="宋体" w:cs="宋体"/>
          <w:b/>
          <w:sz w:val="24"/>
          <w:highlight w:val="none"/>
          <w:lang w:eastAsia="zh-CN"/>
        </w:rPr>
        <w:t xml:space="preserve">、</w:t>
      </w:r>
      <w:r>
        <w:rPr>
          <w:rFonts w:hint="eastAsia" w:ascii="宋体" w:hAnsi="宋体" w:cs="宋体"/>
          <w:b/>
          <w:sz w:val="24"/>
          <w:highlight w:val="none"/>
          <w:lang w:val="en-US" w:eastAsia="zh-CN"/>
        </w:rPr>
        <w:t xml:space="preserve">集中协调式交通信号控制机、手持式遥控器</w:t>
      </w:r>
      <w:r/>
    </w:p>
    <w:p>
      <w:pPr>
        <w:ind w:firstLine="506"/>
        <w:spacing w:line="360" w:lineRule="auto"/>
        <w:rPr>
          <w:rFonts w:hint="eastAsia" w:ascii="Calibri" w:hAnsi="Calibri" w:eastAsia="宋体" w:cs="Times New Roman"/>
          <w:b/>
          <w:spacing w:val="6"/>
          <w:sz w:val="24"/>
          <w:szCs w:val="22"/>
          <w:highlight w:val="none"/>
          <w:lang w:val="en-US" w:eastAsia="zh-CN"/>
        </w:rPr>
      </w:pPr>
      <w:r>
        <w:rPr>
          <w:rFonts w:hint="eastAsia" w:ascii="Calibri" w:hAnsi="Calibri" w:eastAsia="宋体" w:cs="Times New Roman"/>
          <w:b/>
          <w:spacing w:val="6"/>
          <w:sz w:val="24"/>
          <w:szCs w:val="22"/>
          <w:highlight w:val="none"/>
          <w:lang w:val="en-US" w:eastAsia="zh-CN"/>
        </w:rPr>
        <w:t xml:space="preserve">（1）集中协调式交通信号控制机技术参数及指标</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★①标准：遵从国家标准《道路交通信号控制机》（GB25280-2016）的中心协调控制式信号机。</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②稳定可靠：采用嵌入式中央控制系统</w:t>
      </w:r>
      <w:r>
        <w:rPr>
          <w:rFonts w:hint="eastAsia" w:ascii="Calibri" w:hAnsi="Calibri" w:eastAsia="宋体" w:cs="Times New Roman"/>
          <w:spacing w:val="6"/>
          <w:sz w:val="24"/>
          <w:highlight w:val="none"/>
          <w:lang w:eastAsia="zh-CN"/>
        </w:rPr>
        <w:t xml:space="preserve">；</w:t>
      </w:r>
      <w:r>
        <w:rPr>
          <w:rFonts w:hint="eastAsia" w:ascii="Calibri" w:hAnsi="Calibri" w:eastAsia="宋体" w:cs="Times New Roman"/>
          <w:spacing w:val="6"/>
          <w:sz w:val="24"/>
          <w:highlight w:val="none"/>
        </w:rPr>
        <w:t xml:space="preserve">EMC电磁兼容性：具备抗浪涌冲击、抗周期跌落、抗群脉冲干扰、抗静电干扰的能力。</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③超强保护：全天候室外</w:t>
      </w:r>
      <w:r>
        <w:rPr>
          <w:rFonts w:hint="eastAsia" w:ascii="Calibri" w:hAnsi="Calibri" w:eastAsia="宋体" w:cs="Times New Roman"/>
          <w:b/>
          <w:bCs/>
          <w:spacing w:val="6"/>
          <w:sz w:val="24"/>
          <w:highlight w:val="none"/>
          <w:lang w:val="en-US" w:eastAsia="zh-CN"/>
        </w:rPr>
        <w:t xml:space="preserve">双开门</w:t>
      </w:r>
      <w:r>
        <w:rPr>
          <w:rFonts w:hint="eastAsia" w:ascii="Calibri" w:hAnsi="Calibri" w:eastAsia="宋体" w:cs="Times New Roman"/>
          <w:spacing w:val="6"/>
          <w:sz w:val="24"/>
          <w:highlight w:val="none"/>
        </w:rPr>
        <w:t xml:space="preserve">机箱</w:t>
      </w:r>
      <w:r>
        <w:rPr>
          <w:rFonts w:hint="eastAsia" w:ascii="Calibri" w:hAnsi="Calibri" w:eastAsia="宋体" w:cs="Times New Roman"/>
          <w:spacing w:val="6"/>
          <w:sz w:val="24"/>
          <w:highlight w:val="none"/>
          <w:lang w:eastAsia="zh-CN"/>
        </w:rPr>
        <w:t xml:space="preserve">、</w:t>
      </w:r>
      <w:r>
        <w:rPr>
          <w:rFonts w:hint="eastAsia" w:ascii="Calibri" w:hAnsi="Calibri" w:eastAsia="宋体" w:cs="Times New Roman"/>
          <w:spacing w:val="6"/>
          <w:sz w:val="24"/>
          <w:highlight w:val="none"/>
        </w:rPr>
        <w:t xml:space="preserve">内置防雷和防浪涌装置</w:t>
      </w:r>
      <w:r>
        <w:rPr>
          <w:rFonts w:hint="eastAsia" w:ascii="Calibri" w:hAnsi="Calibri" w:eastAsia="宋体" w:cs="Times New Roman"/>
          <w:spacing w:val="6"/>
          <w:sz w:val="24"/>
          <w:highlight w:val="none"/>
          <w:lang w:eastAsia="zh-CN"/>
        </w:rPr>
        <w:t xml:space="preserve">；</w:t>
      </w:r>
      <w:r>
        <w:rPr>
          <w:rFonts w:hint="eastAsia" w:ascii="Calibri" w:hAnsi="Calibri" w:eastAsia="宋体" w:cs="Times New Roman"/>
          <w:spacing w:val="6"/>
          <w:sz w:val="24"/>
          <w:highlight w:val="none"/>
          <w:lang w:val="en-US" w:eastAsia="zh-CN"/>
        </w:rPr>
        <w:t xml:space="preserve">主控单元、灯控单元、配电单元均采用上架式安装</w:t>
      </w:r>
      <w:r>
        <w:rPr>
          <w:rFonts w:hint="eastAsia" w:ascii="Calibri" w:hAnsi="Calibri" w:eastAsia="宋体" w:cs="Times New Roman"/>
          <w:spacing w:val="6"/>
          <w:sz w:val="24"/>
          <w:highlight w:val="none"/>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④多种通讯接口：可扩展RS232、RS485接口与上位机通信，可采用光缆、PSTN共用电话网、无线电等联网方式，并可根据用户要求，支持符合TCP/IP协议的局域网、移动通讯网等方式。</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⑤配置灵活：每个信号灯的闪烁时间和状态可调。</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⑥故障诊断：全面的故障诊断功能使故障定方便。</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⑦</w:t>
      </w:r>
      <w:r>
        <w:rPr>
          <w:rFonts w:hint="eastAsia" w:ascii="Calibri" w:hAnsi="Calibri" w:eastAsia="宋体" w:cs="Times New Roman"/>
          <w:spacing w:val="6"/>
          <w:sz w:val="24"/>
          <w:highlight w:val="none"/>
          <w:lang w:val="en-US" w:eastAsia="zh-CN"/>
        </w:rPr>
        <w:t xml:space="preserve">信号控制器支持最大值设置功能</w:t>
      </w:r>
      <w:r>
        <w:rPr>
          <w:rFonts w:hint="eastAsia" w:ascii="Calibri" w:hAnsi="Calibri" w:eastAsia="宋体" w:cs="Times New Roman"/>
          <w:spacing w:val="6"/>
          <w:sz w:val="24"/>
          <w:highlight w:val="none"/>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⑧模块化设计：交通信号控制机采用模块化设计，分为电源模块、主控模块、通信模块、灯驱模块、车辆检测器模块、手控模块、特勤控制接收模块、特勤控制器模块及背板接口板组成。电源模块负责为信号控制机的各功能模块提供稳定可靠的供电，并提供电源工作电压、电流等参数检测及电源故障检测；主控模块为主要控制模块，完成信号控制机的各类参数配置、故障检测、实时控制等功能，并可与中心控制平台软件的通信及完成对其它功能模块的通信控制；灯驱模块在主控模块的控制下完成对路口信号灯的灯色切换、灯闪等</w:t>
      </w:r>
      <w:r>
        <w:rPr>
          <w:rFonts w:hint="eastAsia" w:ascii="Calibri" w:hAnsi="Calibri" w:eastAsia="宋体" w:cs="Times New Roman"/>
          <w:spacing w:val="6"/>
          <w:sz w:val="24"/>
          <w:highlight w:val="none"/>
        </w:rPr>
        <w:t xml:space="preserve">控制，每一灯驱模块提供12路灯驱输出，可控制12路灯，一般每一灯驱模块控制一个方向的信号灯（包含左转、直行、右转和人行），交通信号控制机一般配置4块灯驱模块，可按需要扩展到8块灯驱动模块；通信模块主要提供RS485接口的视频、线圈、微波、地磁等检测器的接口，若检测器未提供RS485接口，则需要通过接口板转接；车辆检测器模块为选配单元，主要提供线圈检测器的接口；手控模块完成对信号控制机的手动控制；特勤控制接收模块和特勤控制器模块主要完成对特勤车辆的快速通行控制；背板接口板主要提供外部的输入输出接口的转接功能。</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⑨</w:t>
      </w:r>
      <w:r>
        <w:rPr>
          <w:rFonts w:hint="eastAsia" w:ascii="Calibri" w:hAnsi="Calibri" w:eastAsia="宋体" w:cs="Times New Roman"/>
          <w:spacing w:val="6"/>
          <w:sz w:val="24"/>
          <w:highlight w:val="none"/>
          <w:lang w:val="en-US" w:eastAsia="zh-CN"/>
        </w:rPr>
        <w:t xml:space="preserve">信号控制配置</w:t>
      </w:r>
      <w:r>
        <w:rPr>
          <w:rFonts w:hint="eastAsia" w:ascii="Calibri" w:hAnsi="Calibri" w:eastAsia="宋体" w:cs="Times New Roman"/>
          <w:spacing w:val="6"/>
          <w:sz w:val="24"/>
          <w:highlight w:val="none"/>
        </w:rPr>
        <w:t xml:space="preserve">方式灵活：支持基于平板或手提电脑等的智能交通信号控制配置</w:t>
      </w:r>
      <w:r>
        <w:rPr>
          <w:rFonts w:hint="eastAsia" w:ascii="Calibri" w:hAnsi="Calibri" w:eastAsia="宋体" w:cs="Times New Roman"/>
          <w:spacing w:val="6"/>
          <w:sz w:val="24"/>
          <w:highlight w:val="none"/>
          <w:lang w:val="en-US" w:eastAsia="zh-CN"/>
        </w:rPr>
        <w:t xml:space="preserve">能力</w:t>
      </w:r>
      <w:r>
        <w:rPr>
          <w:rFonts w:hint="eastAsia" w:ascii="Calibri" w:hAnsi="Calibri" w:eastAsia="宋体" w:cs="Times New Roman"/>
          <w:spacing w:val="6"/>
          <w:sz w:val="24"/>
          <w:highlight w:val="none"/>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⑩</w:t>
      </w:r>
      <w:r>
        <w:rPr>
          <w:rFonts w:hint="eastAsia" w:ascii="Calibri" w:hAnsi="Calibri" w:eastAsia="宋体" w:cs="Times New Roman"/>
          <w:spacing w:val="6"/>
          <w:sz w:val="24"/>
          <w:highlight w:val="none"/>
          <w:lang w:val="en-US" w:eastAsia="zh-CN"/>
        </w:rPr>
        <w:t xml:space="preserve">信号控制机能够实现数据库事务的处理机制；实现了黄闪、感应控制、报警等功能；支持日志操作功能；支持不少于32相位、不少于16路行人检测器；信号控制器支持最大值设置功能</w:t>
      </w:r>
      <w:r>
        <w:rPr>
          <w:rFonts w:hint="eastAsia" w:ascii="Calibri" w:hAnsi="Calibri" w:eastAsia="宋体" w:cs="Times New Roman"/>
          <w:spacing w:val="6"/>
          <w:sz w:val="24"/>
          <w:highlight w:val="none"/>
        </w:rPr>
        <w:t xml:space="preserve">。</w:t>
      </w:r>
      <w:r/>
    </w:p>
    <w:p>
      <w:pPr>
        <w:ind w:firstLine="504"/>
        <w:spacing w:line="360" w:lineRule="auto"/>
        <w:rPr>
          <w:rFonts w:hint="default" w:ascii="Calibri" w:hAnsi="Calibri" w:eastAsia="宋体" w:cs="Times New Roman"/>
          <w:spacing w:val="6"/>
          <w:sz w:val="24"/>
          <w:highlight w:val="none"/>
          <w:lang w:val="en-US" w:eastAsia="zh-CN"/>
        </w:rPr>
      </w:pPr>
      <w:r>
        <w:rPr>
          <w:rFonts w:hint="eastAsia" w:ascii="Calibri" w:hAnsi="Calibri" w:eastAsia="宋体" w:cs="Times New Roman"/>
          <w:spacing w:val="6"/>
          <w:sz w:val="24"/>
          <w:highlight w:val="none"/>
        </w:rPr>
        <w:t xml:space="preserve">⑪</w:t>
      </w:r>
      <w:r>
        <w:rPr>
          <w:rFonts w:hint="eastAsia" w:ascii="Calibri" w:hAnsi="Calibri" w:eastAsia="宋体" w:cs="Times New Roman"/>
          <w:spacing w:val="6"/>
          <w:sz w:val="24"/>
          <w:highlight w:val="none"/>
          <w:lang w:val="en-US" w:eastAsia="zh-CN"/>
        </w:rPr>
        <w:t xml:space="preserve">支持</w:t>
      </w:r>
      <w:r>
        <w:rPr>
          <w:rFonts w:hint="eastAsia" w:ascii="Calibri" w:hAnsi="Calibri" w:eastAsia="宋体" w:cs="Times New Roman"/>
          <w:spacing w:val="6"/>
          <w:sz w:val="24"/>
          <w:highlight w:val="none"/>
        </w:rPr>
        <w:t xml:space="preserve">扩展</w:t>
      </w:r>
      <w:r>
        <w:rPr>
          <w:rFonts w:hint="eastAsia" w:ascii="Calibri" w:hAnsi="Calibri" w:eastAsia="宋体" w:cs="Times New Roman"/>
          <w:spacing w:val="6"/>
          <w:sz w:val="24"/>
          <w:highlight w:val="none"/>
          <w:lang w:val="en-US" w:eastAsia="zh-CN"/>
        </w:rPr>
        <w:t xml:space="preserve">功能</w:t>
      </w:r>
      <w:r>
        <w:rPr>
          <w:rFonts w:hint="eastAsia" w:ascii="Calibri" w:hAnsi="Calibri" w:eastAsia="宋体" w:cs="Times New Roman"/>
          <w:spacing w:val="6"/>
          <w:sz w:val="24"/>
          <w:highlight w:val="none"/>
        </w:rPr>
        <w:t xml:space="preserve">：对</w:t>
      </w:r>
      <w:r>
        <w:rPr>
          <w:rFonts w:hint="eastAsia" w:ascii="Calibri" w:hAnsi="Calibri" w:eastAsia="宋体" w:cs="Times New Roman"/>
          <w:spacing w:val="6"/>
          <w:sz w:val="24"/>
          <w:highlight w:val="none"/>
          <w:lang w:val="en-US" w:eastAsia="zh-CN"/>
        </w:rPr>
        <w:t xml:space="preserve">扩</w:t>
      </w:r>
      <w:r>
        <w:rPr>
          <w:rFonts w:hint="eastAsia" w:ascii="Calibri" w:hAnsi="Calibri" w:eastAsia="宋体" w:cs="Times New Roman"/>
          <w:spacing w:val="6"/>
          <w:sz w:val="24"/>
          <w:highlight w:val="none"/>
        </w:rPr>
        <w:t xml:space="preserve">展功能之数据安全跟踪处理能力</w:t>
      </w:r>
      <w:r>
        <w:rPr>
          <w:rFonts w:hint="eastAsia" w:ascii="Calibri" w:hAnsi="Calibri" w:eastAsia="宋体" w:cs="Times New Roman"/>
          <w:spacing w:val="6"/>
          <w:sz w:val="24"/>
          <w:highlight w:val="none"/>
          <w:lang w:val="en-US" w:eastAsia="zh-CN"/>
        </w:rPr>
        <w:t xml:space="preserve">测试</w:t>
      </w:r>
      <w:r>
        <w:rPr>
          <w:rFonts w:hint="eastAsia" w:ascii="Calibri" w:hAnsi="Calibri" w:eastAsia="宋体" w:cs="Times New Roman"/>
          <w:spacing w:val="6"/>
          <w:sz w:val="24"/>
          <w:highlight w:val="none"/>
        </w:rPr>
        <w:t xml:space="preserve">进行</w:t>
      </w:r>
      <w:r>
        <w:rPr>
          <w:rFonts w:hint="eastAsia" w:ascii="Calibri" w:hAnsi="Calibri" w:eastAsia="宋体" w:cs="Times New Roman"/>
          <w:spacing w:val="6"/>
          <w:sz w:val="24"/>
          <w:highlight w:val="none"/>
          <w:lang w:val="en-US" w:eastAsia="zh-CN"/>
        </w:rPr>
        <w:t xml:space="preserve">检测</w:t>
      </w:r>
      <w:r>
        <w:rPr>
          <w:rFonts w:hint="eastAsia" w:ascii="Calibri" w:hAnsi="Calibri" w:eastAsia="宋体" w:cs="Times New Roman"/>
          <w:spacing w:val="6"/>
          <w:sz w:val="24"/>
          <w:highlight w:val="none"/>
        </w:rPr>
        <w:t xml:space="preserve">，</w:t>
      </w:r>
      <w:r>
        <w:rPr>
          <w:rFonts w:hint="eastAsia" w:ascii="Calibri" w:hAnsi="Calibri" w:eastAsia="宋体" w:cs="Times New Roman"/>
          <w:spacing w:val="6"/>
          <w:sz w:val="24"/>
          <w:highlight w:val="none"/>
          <w:lang w:val="en-US" w:eastAsia="zh-CN"/>
        </w:rPr>
        <w:t xml:space="preserve">信号控制机</w:t>
      </w:r>
      <w:r>
        <w:rPr>
          <w:rFonts w:hint="eastAsia" w:ascii="Calibri" w:hAnsi="Calibri" w:eastAsia="宋体" w:cs="Times New Roman"/>
          <w:spacing w:val="6"/>
          <w:sz w:val="24"/>
          <w:highlight w:val="none"/>
        </w:rPr>
        <w:t xml:space="preserve">具备数据安全跟踪处理机制。</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⑫工作模式多样：可设置实时自适应、多时段多方案、半感应、全感应、定周期、人工手控、无电缆协调、指挥中心步进控制、黄闪、交通管制、紧急优先等多种工作模式。</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绿波控制：在执行警卫、消防、救护、抢险等任务的时候，其行车路线上的各交通信号灯按车辆到达路口的时间开启绿灯，保证车辆畅通无阻。控制方式可由中央控制器实现。</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单点控制：各交叉路口的信号灯由交通信号机独立控制。</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闪灯控制：信号灯黄灯不停的闪烁，向车辆和行人发出警告或提示。</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步进控制：根据路口交通需求，由指挥中心发出命令模拟交通信号机的手动控制方式，进行交通疏导。</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交通管制：根据路口交通需求，由指挥中心发出命令模拟交通信号机的手动控制方式，进行交通疏导。</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紧急优先：支持紧急优先</w:t>
      </w:r>
      <w:r>
        <w:rPr>
          <w:rFonts w:hint="eastAsia" w:ascii="Calibri" w:hAnsi="Calibri" w:eastAsia="宋体" w:cs="Times New Roman"/>
          <w:spacing w:val="6"/>
          <w:sz w:val="24"/>
          <w:highlight w:val="none"/>
          <w:lang w:val="en-US" w:eastAsia="zh-CN"/>
        </w:rPr>
        <w:t xml:space="preserve">测试</w:t>
      </w:r>
      <w:r>
        <w:rPr>
          <w:rFonts w:hint="eastAsia" w:ascii="Calibri" w:hAnsi="Calibri" w:eastAsia="宋体" w:cs="Times New Roman"/>
          <w:spacing w:val="6"/>
          <w:sz w:val="24"/>
          <w:highlight w:val="none"/>
        </w:rPr>
        <w:t xml:space="preserve">，此功能的消息格式与内容符合标准要求。</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⑬交通数据自动采集与处理：</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通过车辆检测器对路口每个车道的车流量进行自动采集、处理和存储，为改善城市交通控制和城市规划提供决策依据。</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支持环形线圈，电涡流、超声波、雷达、视频识别等多种车辆检测器。通过车辆检测器可实时检测控制区域内的交通流状况，通过交通模型计算出路口停车线车辆的到达和排队情况，以减少行车延误和停车率为优化目标，对控制方案与控制参数进行优化调整，构成整体优化的实时自适应控制系统。</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⑭设备防护：具备过载与漏电保护，软/硬件双重监视的绿冲突保护。对系统硬件、软件的工作状态和故障情况进行全面监视。所有输出口都采用了光电隔离措施。支持控制命令发送、设备情况查询、实时显示各受控路口红绿灯状况。降级顺序：指挥中心控制-无电缆协调控制-感应控制-多时段多方案-定周期控制-黄闪。</w:t>
      </w:r>
      <w:r/>
    </w:p>
    <w:p>
      <w:pPr>
        <w:ind w:left="479" w:firstLine="0"/>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⑮对象处理能力测试中，支持事务操作能力、模拟事务处理流程状态机的各个环节。⑯</w:t>
      </w:r>
      <w:r>
        <w:rPr>
          <w:rFonts w:hint="eastAsia" w:ascii="Calibri" w:hAnsi="Calibri" w:eastAsia="宋体" w:cs="Times New Roman"/>
          <w:spacing w:val="6"/>
          <w:sz w:val="24"/>
          <w:highlight w:val="none"/>
          <w:lang w:val="en-US" w:eastAsia="zh-CN"/>
        </w:rPr>
        <w:t xml:space="preserve">支持通过交警信号中心平台对交通信号进行联网控制</w:t>
      </w:r>
      <w:r>
        <w:rPr>
          <w:rFonts w:hint="eastAsia" w:ascii="Calibri" w:hAnsi="Calibri" w:eastAsia="宋体" w:cs="Times New Roman"/>
          <w:spacing w:val="6"/>
          <w:sz w:val="24"/>
          <w:highlight w:val="none"/>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⑰信号控制机的机柜满足公安部的相关标准要求，内部空间大，利于信号机的散热、安装、使用和维修、机柜内可放置光端机、交换机、闯红灯监测设备等设备。信号灯灯具接线、外部保险等均在机柜内连接。机柜门采用统一门锁，门锁上有保护装置，以防止被非法使用者打开。信号控制器柜门采用内嵌式，缝隙小于3毫米，保障信号机的安全。手动控制开关盒设置于机柜的侧面，可单独打开，而无需打开主机柜门。</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⑱物理指标：</w:t>
      </w:r>
      <w:r/>
    </w:p>
    <w:p>
      <w:pPr>
        <w:ind w:firstLine="504"/>
        <w:spacing w:line="360" w:lineRule="auto"/>
        <w:rPr>
          <w:rFonts w:hint="eastAsia" w:ascii="Calibri" w:hAnsi="Calibri" w:eastAsia="宋体" w:cs="Times New Roman"/>
          <w:spacing w:val="6"/>
          <w:sz w:val="24"/>
          <w:highlight w:val="none"/>
          <w:lang w:val="en-US" w:eastAsia="zh-CN"/>
        </w:rPr>
      </w:pPr>
      <w:r>
        <w:rPr>
          <w:rFonts w:hint="eastAsia" w:ascii="Calibri" w:hAnsi="Calibri" w:eastAsia="宋体" w:cs="Times New Roman"/>
          <w:spacing w:val="6"/>
          <w:sz w:val="24"/>
          <w:highlight w:val="none"/>
        </w:rPr>
        <w:t xml:space="preserve">工作电压：AC176～264V。频率：48～52Hz</w:t>
      </w:r>
      <w:r>
        <w:rPr>
          <w:rFonts w:hint="eastAsia" w:ascii="Calibri" w:hAnsi="Calibri" w:eastAsia="宋体" w:cs="Times New Roman"/>
          <w:spacing w:val="6"/>
          <w:sz w:val="24"/>
          <w:highlight w:val="none"/>
          <w:lang w:eastAsia="zh-CN"/>
        </w:rPr>
        <w:t xml:space="preserve">。</w:t>
      </w:r>
      <w:r/>
    </w:p>
    <w:p>
      <w:pPr>
        <w:ind w:firstLine="504"/>
        <w:spacing w:line="360" w:lineRule="auto"/>
        <w:rPr>
          <w:rFonts w:hint="eastAsia" w:ascii="Calibri" w:hAnsi="Calibri" w:eastAsia="宋体" w:cs="Times New Roman"/>
          <w:spacing w:val="6"/>
          <w:sz w:val="24"/>
          <w:highlight w:val="none"/>
          <w:lang w:val="en-US" w:eastAsia="zh-CN"/>
        </w:rPr>
      </w:pPr>
      <w:r>
        <w:rPr>
          <w:rFonts w:hint="eastAsia" w:ascii="Calibri" w:hAnsi="Calibri" w:eastAsia="宋体" w:cs="Times New Roman"/>
          <w:spacing w:val="6"/>
          <w:sz w:val="24"/>
          <w:highlight w:val="none"/>
        </w:rPr>
        <w:t xml:space="preserve">★</w:t>
      </w:r>
      <w:r>
        <w:rPr>
          <w:rFonts w:hint="eastAsia" w:ascii="Calibri" w:hAnsi="Calibri" w:eastAsia="宋体" w:cs="Times New Roman"/>
          <w:b w:val="0"/>
          <w:bCs w:val="0"/>
          <w:spacing w:val="6"/>
          <w:sz w:val="24"/>
          <w:highlight w:val="none"/>
        </w:rPr>
        <w:t xml:space="preserve">绝缘电阻</w:t>
      </w:r>
      <w:r>
        <w:rPr>
          <w:rFonts w:hint="eastAsia" w:ascii="Calibri" w:hAnsi="Calibri" w:eastAsia="宋体" w:cs="Times New Roman"/>
          <w:b w:val="0"/>
          <w:bCs w:val="0"/>
          <w:spacing w:val="6"/>
          <w:sz w:val="24"/>
          <w:highlight w:val="none"/>
          <w:lang w:eastAsia="zh-CN"/>
        </w:rPr>
        <w:t xml:space="preserve">：</w:t>
      </w:r>
      <w:r>
        <w:rPr>
          <w:rFonts w:hint="eastAsia" w:ascii="Calibri" w:hAnsi="Calibri" w:eastAsia="宋体" w:cs="Times New Roman"/>
          <w:spacing w:val="6"/>
          <w:sz w:val="24"/>
          <w:highlight w:val="none"/>
        </w:rPr>
        <w:t xml:space="preserve">信号机电源电极或其他导电部分与可触及</w:t>
      </w:r>
      <w:r>
        <w:rPr>
          <w:rFonts w:hint="eastAsia" w:ascii="Calibri" w:hAnsi="Calibri" w:eastAsia="宋体" w:cs="Times New Roman"/>
          <w:spacing w:val="6"/>
          <w:sz w:val="24"/>
          <w:highlight w:val="none"/>
          <w:lang w:val="en-US" w:eastAsia="zh-CN"/>
        </w:rPr>
        <w:t xml:space="preserve">机柜、机箱</w:t>
      </w:r>
      <w:r>
        <w:rPr>
          <w:rFonts w:hint="eastAsia" w:ascii="Calibri" w:hAnsi="Calibri" w:eastAsia="宋体" w:cs="Times New Roman"/>
          <w:spacing w:val="6"/>
          <w:sz w:val="24"/>
          <w:highlight w:val="none"/>
        </w:rPr>
        <w:t xml:space="preserve">的绝缘电阻应不小于10MΩ。</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整机功率不超过30W（不包含红绿灯功率）。</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输出功率</w:t>
      </w:r>
      <w:r>
        <w:rPr>
          <w:rFonts w:hint="eastAsia" w:ascii="Calibri" w:hAnsi="Calibri" w:eastAsia="宋体" w:cs="Times New Roman"/>
          <w:spacing w:val="6"/>
          <w:sz w:val="24"/>
          <w:highlight w:val="none"/>
          <w:lang w:val="en-US" w:eastAsia="zh-CN"/>
        </w:rPr>
        <w:t xml:space="preserve">：</w:t>
      </w:r>
      <w:r>
        <w:rPr>
          <w:rFonts w:hint="eastAsia" w:ascii="Calibri" w:hAnsi="Calibri" w:eastAsia="宋体" w:cs="Times New Roman"/>
          <w:spacing w:val="6"/>
          <w:sz w:val="24"/>
          <w:highlight w:val="none"/>
        </w:rPr>
        <w:t xml:space="preserve">每路最大输出功率300W。</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工作温度：－40℃～70℃。</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工作湿度：&lt;95%无结露；</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整机重量：≤60kg。</w:t>
      </w:r>
      <w:r/>
    </w:p>
    <w:p>
      <w:pPr>
        <w:ind w:firstLine="504"/>
        <w:spacing w:line="360" w:lineRule="auto"/>
        <w:rPr>
          <w:rFonts w:hint="eastAsia" w:ascii="Calibri" w:hAnsi="Calibri" w:eastAsia="宋体" w:cs="Times New Roman"/>
          <w:b/>
          <w:spacing w:val="6"/>
          <w:sz w:val="24"/>
          <w:szCs w:val="22"/>
          <w:highlight w:val="none"/>
          <w:lang w:val="en-US" w:eastAsia="zh-CN"/>
        </w:rPr>
      </w:pPr>
      <w:r>
        <w:rPr>
          <w:rFonts w:hint="eastAsia" w:ascii="Calibri" w:hAnsi="Calibri" w:eastAsia="宋体" w:cs="Times New Roman"/>
          <w:spacing w:val="6"/>
          <w:sz w:val="24"/>
          <w:highlight w:val="none"/>
        </w:rPr>
        <w:t xml:space="preserve">结构采用镀锌钢板或冷轧板制作，外表面静电喷涂处理，要求维护开门方便，具备防锈、防水、防盗特点。</w:t>
      </w:r>
      <w:r/>
    </w:p>
    <w:p>
      <w:pPr>
        <w:ind w:firstLine="506"/>
        <w:spacing w:line="360" w:lineRule="auto"/>
        <w:rPr>
          <w:rFonts w:hint="eastAsia" w:ascii="Calibri" w:hAnsi="Calibri" w:eastAsia="宋体" w:cs="Times New Roman"/>
          <w:b/>
          <w:spacing w:val="6"/>
          <w:sz w:val="24"/>
          <w:szCs w:val="22"/>
          <w:highlight w:val="none"/>
          <w:lang w:val="en-US" w:eastAsia="zh-CN"/>
        </w:rPr>
      </w:pPr>
      <w:r>
        <w:rPr>
          <w:rFonts w:hint="eastAsia" w:ascii="Calibri" w:hAnsi="Calibri" w:eastAsia="宋体" w:cs="Times New Roman"/>
          <w:b/>
          <w:spacing w:val="6"/>
          <w:sz w:val="24"/>
          <w:szCs w:val="22"/>
          <w:highlight w:val="none"/>
          <w:lang w:val="en-US" w:eastAsia="zh-CN"/>
        </w:rPr>
        <w:t xml:space="preserve">（2）手持式遥控器</w:t>
      </w:r>
      <w:r/>
    </w:p>
    <w:p>
      <w:pPr>
        <w:ind w:firstLine="504"/>
        <w:spacing w:line="360" w:lineRule="auto"/>
        <w:rPr>
          <w:rFonts w:hint="default" w:ascii="Calibri" w:hAnsi="Calibri" w:eastAsia="宋体" w:cs="Times New Roman"/>
          <w:spacing w:val="6"/>
          <w:sz w:val="24"/>
          <w:highlight w:val="none"/>
          <w:lang w:val="en-US" w:eastAsia="zh-CN"/>
        </w:rPr>
      </w:pPr>
      <w:r>
        <w:rPr>
          <w:rFonts w:hint="eastAsia" w:ascii="Calibri" w:hAnsi="Calibri" w:eastAsia="宋体" w:cs="Times New Roman"/>
          <w:spacing w:val="6"/>
          <w:sz w:val="24"/>
          <w:highlight w:val="none"/>
        </w:rPr>
        <w:t xml:space="preserve">通过手持式遥控器实现对交叉路口交通信号的智能控制调节，根据面板上对应的参数进行手持式控制，实现对某一方向特殊控制，操作简便、实用，操作界面采用中文界面控制</w:t>
      </w:r>
      <w:r>
        <w:rPr>
          <w:rFonts w:hint="eastAsia" w:ascii="Calibri" w:hAnsi="Calibri" w:eastAsia="宋体" w:cs="Times New Roman"/>
          <w:spacing w:val="6"/>
          <w:sz w:val="24"/>
          <w:highlight w:val="none"/>
          <w:lang w:eastAsia="zh-CN"/>
        </w:rPr>
        <w:t xml:space="preserve">；</w:t>
      </w:r>
      <w:r>
        <w:rPr>
          <w:rFonts w:hint="eastAsia" w:ascii="Calibri" w:hAnsi="Calibri" w:eastAsia="宋体" w:cs="Times New Roman"/>
          <w:spacing w:val="6"/>
          <w:sz w:val="24"/>
          <w:highlight w:val="none"/>
          <w:lang w:val="en-US" w:eastAsia="zh-CN"/>
        </w:rPr>
        <w:t xml:space="preserve">要求和金湖道路上现有信号控制系统兼容。</w:t>
      </w:r>
      <w:r/>
    </w:p>
    <w:p>
      <w:pPr>
        <w:ind w:firstLine="482"/>
        <w:jc w:val="left"/>
        <w:keepLines w:val="0"/>
        <w:keepNext w:val="0"/>
        <w:pageBreakBefore w:val="0"/>
        <w:spacing w:line="480" w:lineRule="exact"/>
        <w:rPr>
          <w:rFonts w:hint="eastAsia" w:ascii="宋体" w:hAnsi="宋体" w:cs="宋体"/>
          <w:b/>
          <w:sz w:val="24"/>
          <w:highlight w:val="none"/>
        </w:rPr>
        <w:outlineLvl w:val="9"/>
      </w:pPr>
      <w:r>
        <w:rPr>
          <w:rFonts w:hint="eastAsia" w:ascii="宋体" w:hAnsi="宋体" w:cs="宋体"/>
          <w:b/>
          <w:sz w:val="24"/>
          <w:highlight w:val="none"/>
        </w:rPr>
        <w:t xml:space="preserve">主要功能：</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①具备指定方向绿灯方向放行功能；</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②功能切换实现不同模式对信号机遥控功能；</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③带OLED显示屏，直观方便；</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④显示当前放行方向与信号机同步；</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⑤手持式遥控器配置3.7V1200mAh锂电池和专用充电器；</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⑥采用先进的LOAR扩频技术和高效的循环交织纠检错编码技术，超强抗干扰；</w:t>
      </w:r>
      <w:r/>
    </w:p>
    <w:p>
      <w:pPr>
        <w:ind w:firstLine="482"/>
        <w:jc w:val="left"/>
        <w:keepLines w:val="0"/>
        <w:keepNext w:val="0"/>
        <w:pageBreakBefore w:val="0"/>
        <w:spacing w:line="460" w:lineRule="exact"/>
        <w:rPr>
          <w:rFonts w:hint="eastAsia" w:ascii="宋体" w:hAnsi="宋体" w:cs="宋体"/>
          <w:b/>
          <w:sz w:val="24"/>
          <w:highlight w:val="none"/>
        </w:rPr>
        <w:outlineLvl w:val="9"/>
      </w:pPr>
      <w:r>
        <w:rPr>
          <w:rFonts w:hint="eastAsia" w:ascii="宋体" w:hAnsi="宋体" w:cs="宋体"/>
          <w:b/>
          <w:sz w:val="24"/>
          <w:highlight w:val="none"/>
        </w:rPr>
        <w:t xml:space="preserve">主要参数：</w:t>
      </w:r>
      <w:r/>
    </w:p>
    <w:tbl>
      <w:tblPr>
        <w:tblStyle w:val="813"/>
        <w:tblW w:w="0" w:type="auto"/>
        <w:tblInd w:w="189" w:type="dxa"/>
        <w:tblLayout w:type="fixed"/>
        <w:tblCellMar>
          <w:left w:w="0" w:type="dxa"/>
          <w:top w:w="0" w:type="dxa"/>
          <w:right w:w="0" w:type="dxa"/>
          <w:bottom w:w="0" w:type="dxa"/>
        </w:tblCellMar>
        <w:tblLook w:val="04A0" w:firstRow="1" w:lastRow="0" w:firstColumn="1" w:lastColumn="0" w:noHBand="0" w:noVBand="1"/>
      </w:tblPr>
      <w:tblGrid>
        <w:gridCol w:w="2889"/>
        <w:gridCol w:w="6050"/>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89"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通讯频率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50"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433MHZ</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89"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遥控距离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50"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&gt;400米（功率可调至1公里）</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89"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电源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50"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3.7V1200MAH锂电池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89"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屏幕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50"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OLED</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89"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功耗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50"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小于0.2W</w:t>
            </w:r>
            <w:r/>
          </w:p>
        </w:tc>
      </w:tr>
    </w:tbl>
    <w:p>
      <w:pPr>
        <w:spacing w:line="360" w:lineRule="auto"/>
        <w:rPr>
          <w:rFonts w:hint="eastAsia" w:ascii="Calibri" w:hAnsi="Calibri" w:eastAsia="宋体" w:cs="Times New Roman"/>
          <w:b/>
          <w:spacing w:val="6"/>
          <w:sz w:val="24"/>
          <w:szCs w:val="22"/>
          <w:highlight w:val="none"/>
          <w:lang w:val="en-US" w:eastAsia="zh-CN"/>
        </w:rPr>
      </w:pPr>
      <w:r>
        <w:rPr>
          <w:rFonts w:hint="eastAsia" w:ascii="Calibri" w:hAnsi="Calibri" w:eastAsia="宋体" w:cs="Times New Roman"/>
          <w:b/>
          <w:spacing w:val="6"/>
          <w:sz w:val="24"/>
          <w:szCs w:val="22"/>
          <w:highlight w:val="none"/>
          <w:lang w:val="en-US" w:eastAsia="zh-CN"/>
        </w:rPr>
      </w:r>
      <w:r/>
    </w:p>
    <w:p>
      <w:pPr>
        <w:ind w:firstLine="506"/>
        <w:spacing w:line="360" w:lineRule="auto"/>
        <w:rPr>
          <w:rFonts w:hint="eastAsia" w:ascii="Calibri" w:hAnsi="Calibri" w:eastAsia="宋体" w:cs="Times New Roman"/>
          <w:b/>
          <w:spacing w:val="6"/>
          <w:sz w:val="24"/>
          <w:szCs w:val="22"/>
          <w:highlight w:val="none"/>
          <w:lang w:val="en-US" w:eastAsia="zh-CN"/>
        </w:rPr>
      </w:pPr>
      <w:r>
        <w:rPr>
          <w:rFonts w:hint="eastAsia" w:ascii="Calibri" w:hAnsi="Calibri" w:eastAsia="宋体" w:cs="Times New Roman"/>
          <w:b/>
          <w:spacing w:val="6"/>
          <w:sz w:val="24"/>
          <w:szCs w:val="22"/>
          <w:highlight w:val="none"/>
          <w:lang w:val="en-US" w:eastAsia="zh-CN"/>
        </w:rPr>
        <w:t xml:space="preserve">（3）交通信号控制机通信协议</w:t>
      </w:r>
      <w:r/>
    </w:p>
    <w:p>
      <w:pPr>
        <w:ind w:firstLine="504"/>
        <w:spacing w:line="360" w:lineRule="auto"/>
        <w:rPr>
          <w:rFonts w:hint="eastAsia" w:ascii="Calibri" w:hAnsi="Calibri" w:eastAsia="宋体" w:cs="Times New Roman"/>
          <w:spacing w:val="6"/>
          <w:sz w:val="24"/>
          <w:highlight w:val="none"/>
          <w:lang w:val="en-US" w:eastAsia="zh-CN"/>
        </w:rPr>
      </w:pPr>
      <w:r>
        <w:rPr>
          <w:rFonts w:hint="eastAsia" w:ascii="Calibri" w:hAnsi="Calibri" w:eastAsia="宋体" w:cs="Times New Roman"/>
          <w:spacing w:val="6"/>
          <w:sz w:val="24"/>
          <w:highlight w:val="none"/>
          <w:lang w:val="en-US" w:eastAsia="zh-CN"/>
        </w:rPr>
        <w:t xml:space="preserve"> </w:t>
      </w:r>
      <w:r>
        <w:rPr>
          <w:rFonts w:hint="eastAsia" w:ascii="Calibri" w:hAnsi="Calibri" w:eastAsia="宋体" w:cs="Times New Roman"/>
          <w:spacing w:val="6"/>
          <w:sz w:val="24"/>
          <w:highlight w:val="none"/>
        </w:rPr>
        <w:t xml:space="preserve">★</w:t>
      </w:r>
      <w:r>
        <w:rPr>
          <w:rFonts w:hint="eastAsia" w:ascii="Calibri" w:hAnsi="Calibri" w:eastAsia="宋体" w:cs="Times New Roman"/>
          <w:spacing w:val="6"/>
          <w:sz w:val="24"/>
          <w:highlight w:val="none"/>
          <w:lang w:val="en-US" w:eastAsia="zh-CN"/>
        </w:rPr>
        <w:t xml:space="preserve">信号控制机通信协议（指令和消息方式）符合GB25280-2016《道路交通信号控制机》中附录A的要求；</w:t>
      </w:r>
      <w:r/>
    </w:p>
    <w:p>
      <w:pPr>
        <w:ind w:firstLine="504"/>
        <w:spacing w:line="360" w:lineRule="auto"/>
        <w:rPr>
          <w:rFonts w:hint="eastAsia" w:ascii="Calibri" w:hAnsi="Calibri" w:eastAsia="宋体" w:cs="Times New Roman"/>
          <w:spacing w:val="6"/>
          <w:sz w:val="24"/>
          <w:highlight w:val="none"/>
          <w:lang w:val="en-US" w:eastAsia="zh-CN"/>
        </w:rPr>
      </w:pPr>
      <w:r>
        <w:rPr>
          <w:rFonts w:hint="eastAsia" w:ascii="Calibri" w:hAnsi="Calibri" w:eastAsia="宋体" w:cs="Times New Roman"/>
          <w:spacing w:val="6"/>
          <w:sz w:val="24"/>
          <w:highlight w:val="none"/>
          <w:lang w:val="en-US" w:eastAsia="zh-CN"/>
        </w:rPr>
        <w:t xml:space="preserve"> 对信号灯组、方案调度计划、信号配时方案进行检测时，符合要求。</w:t>
      </w:r>
      <w:r/>
    </w:p>
    <w:p>
      <w:pPr>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1.</w:t>
      </w:r>
      <w:r>
        <w:rPr>
          <w:rFonts w:hint="eastAsia" w:ascii="宋体" w:hAnsi="宋体" w:cs="宋体"/>
          <w:b/>
          <w:sz w:val="24"/>
          <w:lang w:val="en-US" w:eastAsia="zh-CN"/>
        </w:rPr>
        <w:t xml:space="preserve">2</w:t>
      </w:r>
      <w:r>
        <w:rPr>
          <w:rFonts w:hint="eastAsia" w:ascii="宋体" w:hAnsi="宋体" w:eastAsia="宋体" w:cs="宋体"/>
          <w:b/>
          <w:sz w:val="24"/>
          <w:lang w:eastAsia="zh-CN"/>
        </w:rPr>
        <w:t xml:space="preserve">、道路交通信号灯</w:t>
      </w:r>
      <w:r/>
    </w:p>
    <w:p>
      <w:pPr>
        <w:numPr>
          <w:ilvl w:val="0"/>
          <w:numId w:val="0"/>
        </w:numPr>
        <w:jc w:val="both"/>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机动车灯盘采用￠400型，超高亮发光二极管制造；含箭头灯及圆盘灯，考虑到城区道路沿线超高车辆刮擦碰撞等因素，本批次信号灯现场安装时均为“横式安装”。</w:t>
      </w:r>
      <w:r/>
    </w:p>
    <w:p>
      <w:pPr>
        <w:spacing w:before="194" w:line="360" w:lineRule="auto"/>
        <w:rPr>
          <w:rFonts w:ascii="宋体" w:hAnsi="宋体" w:eastAsia="宋体" w:cs="宋体"/>
          <w:b/>
          <w:bCs/>
          <w:spacing w:val="-1"/>
          <w:position w:val="18"/>
          <w:sz w:val="24"/>
          <w:szCs w:val="24"/>
        </w:rPr>
      </w:pPr>
      <w:r>
        <w:rPr>
          <w:rFonts w:hint="eastAsia" w:ascii="宋体" w:hAnsi="宋体" w:eastAsia="宋体" w:cs="宋体"/>
          <w:b/>
          <w:bCs/>
          <w:spacing w:val="-1"/>
          <w:position w:val="18"/>
          <w:sz w:val="24"/>
          <w:szCs w:val="24"/>
        </w:rPr>
        <w:t xml:space="preserve">机动车信号灯</w:t>
      </w:r>
      <w:r/>
    </w:p>
    <w:p>
      <w:pPr>
        <w:numPr>
          <w:ilvl w:val="0"/>
          <w:numId w:val="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含右转方向指示信号灯、左转方向指示信号灯、直行方向指示信号灯和圆盘机动车信号灯。</w:t>
      </w:r>
      <w:r/>
    </w:p>
    <w:p>
      <w:pPr>
        <w:numPr>
          <w:ilvl w:val="0"/>
          <w:numId w:val="9"/>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一组灯应由三个信号灯组成。这三个信号灯应显示红色、黄色及绿色。</w:t>
      </w:r>
      <w:r/>
    </w:p>
    <w:p>
      <w:pPr>
        <w:numPr>
          <w:ilvl w:val="0"/>
          <w:numId w:val="9"/>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交通信号灯包括两种型号：方向指示信号与机动车信号灯。对机动车信号灯而言，照亮区域必须形成圆盘形状；对方向指示信号而言，照亮区域必须形成箭头形状，其方向根据施工图及现场道路设计及安装时确定。</w:t>
      </w:r>
      <w:r/>
    </w:p>
    <w:p>
      <w:pPr>
        <w:numPr>
          <w:ilvl w:val="0"/>
          <w:numId w:val="9"/>
        </w:numPr>
        <w:jc w:val="both"/>
        <w:spacing w:line="360" w:lineRule="auto"/>
        <w:rPr>
          <w:rFonts w:ascii="宋体" w:hAnsi="宋体" w:eastAsia="宋体" w:cs="宋体"/>
          <w:sz w:val="24"/>
          <w:szCs w:val="24"/>
          <w:lang w:eastAsia="zh-CN"/>
        </w:rPr>
      </w:pPr>
      <w:r>
        <w:rPr>
          <w:rFonts w:hint="eastAsia" w:ascii="Calibri" w:hAnsi="Calibri" w:eastAsia="宋体" w:cs="Times New Roman"/>
          <w:spacing w:val="6"/>
          <w:sz w:val="24"/>
        </w:rPr>
        <w:t xml:space="preserve">★</w:t>
      </w:r>
      <w:r>
        <w:rPr>
          <w:rFonts w:hint="eastAsia" w:ascii="宋体" w:hAnsi="宋体" w:eastAsia="宋体" w:cs="宋体"/>
          <w:sz w:val="24"/>
          <w:szCs w:val="24"/>
          <w:lang w:eastAsia="zh-CN"/>
        </w:rPr>
        <w:t xml:space="preserve">标准：符合中华人民共和国</w:t>
      </w:r>
      <w:r>
        <w:rPr>
          <w:rFonts w:hint="eastAsia" w:ascii="宋体" w:hAnsi="宋体" w:eastAsia="宋体" w:cs="宋体"/>
          <w:sz w:val="24"/>
          <w:szCs w:val="24"/>
          <w:highlight w:val="none"/>
          <w:lang w:eastAsia="zh-CN"/>
        </w:rPr>
        <w:t xml:space="preserve">《道路交通信号灯》（GB14887-2011）</w:t>
      </w:r>
      <w:r>
        <w:rPr>
          <w:rFonts w:hint="eastAsia" w:ascii="宋体" w:hAnsi="宋体" w:eastAsia="宋体" w:cs="宋体"/>
          <w:sz w:val="24"/>
          <w:szCs w:val="24"/>
          <w:lang w:eastAsia="zh-CN"/>
        </w:rPr>
        <w:t xml:space="preserve">标准；</w:t>
      </w:r>
      <w:r/>
    </w:p>
    <w:p>
      <w:pPr>
        <w:numPr>
          <w:ilvl w:val="0"/>
          <w:numId w:val="9"/>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外观设计：外观必须为LED光源所设计，结构为超薄化，Φ400mm，透光面的灯具厚度≥140mm，外观与金湖道路上现有信号灯保持一致；</w:t>
      </w:r>
      <w:r/>
    </w:p>
    <w:p>
      <w:pPr>
        <w:numPr>
          <w:ilvl w:val="0"/>
          <w:numId w:val="9"/>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透光设计：透光镜片的外表面采用倾斜面；</w:t>
      </w:r>
      <w:r/>
    </w:p>
    <w:p>
      <w:pPr>
        <w:numPr>
          <w:ilvl w:val="0"/>
          <w:numId w:val="9"/>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外壳材料：灯具为铝压铸材料一次压铸</w:t>
      </w:r>
      <w:r>
        <w:rPr>
          <w:rFonts w:hint="eastAsia" w:ascii="宋体" w:hAnsi="宋体" w:cs="宋体"/>
          <w:sz w:val="24"/>
          <w:szCs w:val="24"/>
          <w:highlight w:val="none"/>
          <w:lang w:eastAsia="zh-CN"/>
        </w:rPr>
        <w:t xml:space="preserve">成形</w:t>
      </w:r>
      <w:r>
        <w:rPr>
          <w:rFonts w:hint="eastAsia" w:ascii="宋体" w:hAnsi="宋体" w:eastAsia="宋体" w:cs="宋体"/>
          <w:sz w:val="24"/>
          <w:szCs w:val="24"/>
          <w:lang w:eastAsia="zh-CN"/>
        </w:rPr>
        <w:t xml:space="preserve">，使用寿命≥25年，涂成黑色；</w:t>
      </w:r>
      <w:r/>
    </w:p>
    <w:p>
      <w:pPr>
        <w:numPr>
          <w:ilvl w:val="0"/>
          <w:numId w:val="9"/>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光源：光源采用四元素超高亮度发光二极管（LED），具有寿命长、功耗低、外观新颖等特点，额定电压：AC176～264V,50HZ ；</w:t>
      </w:r>
      <w:r/>
    </w:p>
    <w:p>
      <w:pPr>
        <w:numPr>
          <w:ilvl w:val="0"/>
          <w:numId w:val="9"/>
        </w:numPr>
        <w:jc w:val="both"/>
        <w:spacing w:line="360" w:lineRule="auto"/>
        <w:rPr>
          <w:rFonts w:ascii="宋体" w:hAnsi="宋体" w:eastAsia="宋体" w:cs="宋体"/>
          <w:sz w:val="24"/>
          <w:szCs w:val="24"/>
          <w:highlight w:val="none"/>
          <w:lang w:eastAsia="zh-CN"/>
        </w:rPr>
      </w:pPr>
      <w:r>
        <w:rPr>
          <w:rFonts w:hint="eastAsia" w:ascii="Calibri" w:hAnsi="Calibri" w:eastAsia="宋体" w:cs="Times New Roman"/>
          <w:spacing w:val="6"/>
          <w:sz w:val="24"/>
        </w:rPr>
        <w:t xml:space="preserve">★</w:t>
      </w:r>
      <w:r>
        <w:rPr>
          <w:rFonts w:hint="eastAsia" w:ascii="宋体" w:hAnsi="宋体" w:eastAsia="宋体" w:cs="宋体"/>
          <w:sz w:val="24"/>
          <w:szCs w:val="24"/>
          <w:lang w:eastAsia="zh-CN"/>
        </w:rPr>
        <w:t xml:space="preserve">发光强度：</w:t>
      </w:r>
      <w:r>
        <w:rPr>
          <w:rFonts w:hint="eastAsia" w:ascii="Calibri" w:hAnsi="Calibri"/>
          <w:color w:val="auto"/>
          <w:spacing w:val="6"/>
          <w:sz w:val="24"/>
          <w:szCs w:val="22"/>
          <w:highlight w:val="none"/>
        </w:rPr>
        <w:t xml:space="preserve">符合《道路交通信号灯》（GB14887-2011）</w:t>
      </w:r>
      <w:r>
        <w:rPr>
          <w:rFonts w:hint="eastAsia" w:ascii="Calibri" w:hAnsi="Calibri"/>
          <w:color w:val="auto"/>
          <w:spacing w:val="6"/>
          <w:sz w:val="24"/>
          <w:szCs w:val="22"/>
          <w:highlight w:val="none"/>
          <w:lang w:val="en-US" w:eastAsia="zh-CN"/>
        </w:rPr>
        <w:t xml:space="preserve">中5.2光学性能要求</w:t>
      </w:r>
      <w:r>
        <w:rPr>
          <w:rFonts w:hint="eastAsia" w:ascii="宋体" w:hAnsi="宋体" w:eastAsia="宋体" w:cs="宋体"/>
          <w:sz w:val="24"/>
          <w:szCs w:val="24"/>
          <w:highlight w:val="none"/>
          <w:lang w:eastAsia="zh-CN"/>
        </w:rPr>
        <w:t xml:space="preserve">；</w:t>
      </w:r>
      <w:r/>
    </w:p>
    <w:p>
      <w:pPr>
        <w:numPr>
          <w:ilvl w:val="0"/>
          <w:numId w:val="9"/>
        </w:numPr>
        <w:jc w:val="both"/>
        <w:spacing w:line="360" w:lineRule="auto"/>
        <w:rPr>
          <w:rFonts w:ascii="宋体" w:hAnsi="宋体" w:eastAsia="宋体" w:cs="宋体"/>
          <w:sz w:val="24"/>
          <w:szCs w:val="24"/>
          <w:highlight w:val="none"/>
          <w:lang w:eastAsia="zh-CN"/>
        </w:rPr>
      </w:pPr>
      <w:r>
        <w:rPr>
          <w:rFonts w:hint="eastAsia" w:ascii="Calibri" w:hAnsi="Calibri" w:eastAsia="宋体" w:cs="Times New Roman"/>
          <w:spacing w:val="6"/>
          <w:sz w:val="24"/>
          <w:highlight w:val="none"/>
        </w:rPr>
        <w:t xml:space="preserve">★</w:t>
      </w:r>
      <w:r>
        <w:rPr>
          <w:rFonts w:hint="eastAsia" w:ascii="宋体" w:hAnsi="宋体" w:eastAsia="宋体" w:cs="宋体"/>
          <w:sz w:val="24"/>
          <w:szCs w:val="24"/>
          <w:highlight w:val="none"/>
          <w:lang w:eastAsia="zh-CN"/>
        </w:rPr>
        <w:t xml:space="preserve">色度：</w:t>
      </w:r>
      <w:r>
        <w:rPr>
          <w:rFonts w:hint="eastAsia" w:ascii="Calibri" w:hAnsi="Calibri"/>
          <w:color w:val="auto"/>
          <w:spacing w:val="6"/>
          <w:sz w:val="24"/>
          <w:szCs w:val="22"/>
          <w:highlight w:val="none"/>
        </w:rPr>
        <w:t xml:space="preserve">符合《道路交通信号灯》（GB14887-2011）</w:t>
      </w:r>
      <w:r>
        <w:rPr>
          <w:rFonts w:hint="eastAsia" w:ascii="Calibri" w:hAnsi="Calibri"/>
          <w:color w:val="auto"/>
          <w:spacing w:val="6"/>
          <w:sz w:val="24"/>
          <w:szCs w:val="22"/>
          <w:highlight w:val="none"/>
          <w:lang w:val="en-US" w:eastAsia="zh-CN"/>
        </w:rPr>
        <w:t xml:space="preserve">中5.4色度性能要求</w:t>
      </w:r>
      <w:r>
        <w:rPr>
          <w:rFonts w:hint="eastAsia" w:ascii="宋体" w:hAnsi="宋体" w:eastAsia="宋体" w:cs="宋体"/>
          <w:sz w:val="24"/>
          <w:szCs w:val="24"/>
          <w:highlight w:val="none"/>
          <w:lang w:eastAsia="zh-CN"/>
        </w:rPr>
        <w:t xml:space="preserve">；</w:t>
      </w:r>
      <w:r/>
    </w:p>
    <w:p>
      <w:pPr>
        <w:numPr>
          <w:ilvl w:val="0"/>
          <w:numId w:val="9"/>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光源寿命：≥10万小时；</w:t>
      </w:r>
      <w:r/>
    </w:p>
    <w:p>
      <w:pPr>
        <w:numPr>
          <w:ilvl w:val="0"/>
          <w:numId w:val="9"/>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可视角度：≥30°;</w:t>
      </w:r>
      <w:r/>
    </w:p>
    <w:p>
      <w:pPr>
        <w:numPr>
          <w:ilvl w:val="0"/>
          <w:numId w:val="9"/>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可视距离：≥400m；</w:t>
      </w:r>
      <w:r/>
    </w:p>
    <w:p>
      <w:pPr>
        <w:numPr>
          <w:ilvl w:val="0"/>
          <w:numId w:val="9"/>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外壳防护等级：≥IP53；</w:t>
      </w:r>
      <w:r/>
    </w:p>
    <w:p>
      <w:pPr>
        <w:numPr>
          <w:ilvl w:val="0"/>
          <w:numId w:val="9"/>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耐温：－40℃~+75℃;</w:t>
      </w:r>
      <w:r/>
    </w:p>
    <w:p>
      <w:pPr>
        <w:numPr>
          <w:ilvl w:val="0"/>
          <w:numId w:val="9"/>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湿热性能：温度为40℃时，空气相对湿度≤93%±2%;</w:t>
      </w:r>
      <w:r/>
    </w:p>
    <w:p>
      <w:pPr>
        <w:numPr>
          <w:ilvl w:val="0"/>
          <w:numId w:val="9"/>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绝缘电阻：≥10MΩ;</w:t>
      </w:r>
      <w:r/>
    </w:p>
    <w:p>
      <w:pPr>
        <w:numPr>
          <w:ilvl w:val="0"/>
          <w:numId w:val="9"/>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介电强度：耐压1440VAC；</w:t>
      </w:r>
      <w:r/>
    </w:p>
    <w:p>
      <w:pPr>
        <w:numPr>
          <w:ilvl w:val="0"/>
          <w:numId w:val="9"/>
        </w:numPr>
        <w:jc w:val="both"/>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防尘：信号灯的防尘等级应不低于GB4208中规定的IP5X，即防尘。试验后，信号灯应承受介电强度试验，并且信号灯壳体内应无滑石粉沉积，发光单元内应无滑石粉痕迹；</w:t>
      </w:r>
      <w:r/>
    </w:p>
    <w:p>
      <w:pPr>
        <w:numPr>
          <w:ilvl w:val="0"/>
          <w:numId w:val="9"/>
        </w:numPr>
        <w:jc w:val="both"/>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抗振动：信号灯在额定电压下以正常工作状态固定在振动台上，对其进行前后、左右、上下方向上的振动每个方向振动20个周期。试验中及试验后，信号灯应能正常工作，紧固部件应无松动，无机械损伤，无电器接触不良现象；</w:t>
      </w:r>
      <w:r/>
    </w:p>
    <w:p>
      <w:pPr>
        <w:numPr>
          <w:ilvl w:val="0"/>
          <w:numId w:val="9"/>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抗风压：145km/h；</w:t>
      </w:r>
      <w:r/>
    </w:p>
    <w:p>
      <w:pPr>
        <w:numPr>
          <w:ilvl w:val="0"/>
          <w:numId w:val="9"/>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单灯净重≤25kg。</w:t>
      </w:r>
      <w:r/>
    </w:p>
    <w:p>
      <w:pPr>
        <w:numPr>
          <w:ilvl w:val="0"/>
          <w:numId w:val="9"/>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灯芯尺寸：≥392（MM),三连体；</w:t>
      </w:r>
      <w:r/>
    </w:p>
    <w:p>
      <w:pPr>
        <w:numPr>
          <w:ilvl w:val="0"/>
          <w:numId w:val="9"/>
        </w:numPr>
        <w:jc w:val="both"/>
        <w:spacing w:line="360" w:lineRule="auto"/>
        <w:rPr>
          <w:rFonts w:hint="eastAsia" w:ascii="宋体" w:hAnsi="宋体" w:eastAsia="宋体" w:cs="宋体"/>
          <w:sz w:val="24"/>
          <w:szCs w:val="24"/>
          <w:lang w:eastAsia="zh-CN"/>
        </w:rPr>
      </w:pPr>
      <w:r>
        <w:rPr>
          <w:spacing w:val="-3"/>
        </w:rPr>
        <w:t xml:space="preserve">▲</w:t>
      </w:r>
      <w:r>
        <w:rPr>
          <w:spacing w:val="-86"/>
        </w:rPr>
        <w:t xml:space="preserve"> </w:t>
      </w:r>
      <w:r>
        <w:rPr>
          <w:rFonts w:hint="eastAsia" w:ascii="宋体" w:hAnsi="宋体" w:eastAsia="宋体" w:cs="宋体"/>
          <w:sz w:val="24"/>
          <w:szCs w:val="24"/>
          <w:lang w:eastAsia="zh-CN"/>
        </w:rPr>
        <w:t xml:space="preserve">单灯功率及功率因数：【箭头灯】功率：红色≤14W、黄色≤14W、绿色≤9W；功率因数：红、黄、绿色均≥0.</w:t>
      </w:r>
      <w:r>
        <w:rPr>
          <w:rFonts w:hint="eastAsia" w:ascii="宋体" w:hAnsi="宋体" w:eastAsia="宋体" w:cs="宋体"/>
          <w:sz w:val="24"/>
          <w:szCs w:val="24"/>
          <w:lang w:val="en-US" w:eastAsia="zh-CN"/>
        </w:rPr>
        <w:t xml:space="preserve">88</w:t>
      </w:r>
      <w:r>
        <w:rPr>
          <w:rFonts w:hint="eastAsia" w:ascii="宋体" w:hAnsi="宋体" w:eastAsia="宋体" w:cs="宋体"/>
          <w:sz w:val="24"/>
          <w:szCs w:val="24"/>
          <w:lang w:eastAsia="zh-CN"/>
        </w:rPr>
        <w:t xml:space="preserve">；【圆盘灯】功率：红色≤13W、黄色≤14W、绿色≤11W；功率因数：红、黄、绿色均≥0.</w:t>
      </w:r>
      <w:r>
        <w:rPr>
          <w:rFonts w:hint="eastAsia" w:ascii="宋体" w:hAnsi="宋体" w:eastAsia="宋体" w:cs="宋体"/>
          <w:sz w:val="24"/>
          <w:szCs w:val="24"/>
          <w:lang w:val="en-US" w:eastAsia="zh-CN"/>
        </w:rPr>
        <w:t xml:space="preserve">88</w:t>
      </w:r>
      <w:r>
        <w:rPr>
          <w:rFonts w:hint="eastAsia" w:ascii="宋体" w:hAnsi="宋体" w:eastAsia="宋体" w:cs="宋体"/>
          <w:sz w:val="24"/>
          <w:szCs w:val="24"/>
          <w:lang w:eastAsia="zh-CN"/>
        </w:rPr>
        <w:t xml:space="preserve">；</w:t>
      </w:r>
      <w:r>
        <w:rPr>
          <w:rFonts w:hint="eastAsia" w:ascii="宋体" w:hAnsi="宋体" w:eastAsia="宋体" w:cs="宋体"/>
          <w:b/>
          <w:bCs/>
          <w:sz w:val="24"/>
          <w:szCs w:val="24"/>
          <w:lang w:eastAsia="zh-CN"/>
        </w:rPr>
        <w:t xml:space="preserve">（提供国家认可的检测机构出具的检测报告原件扫描件加盖公章上传，提供的检测报告内容模糊不清导致无法辨别的，按未提供处理）</w:t>
      </w:r>
      <w:r/>
    </w:p>
    <w:p>
      <w:pPr>
        <w:numPr>
          <w:ilvl w:val="0"/>
          <w:numId w:val="9"/>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LED参数：光强：红、黄色≥6000mcd；绿色≥10000mcd；</w:t>
      </w:r>
      <w:r/>
    </w:p>
    <w:p>
      <w:pPr>
        <w:numPr>
          <w:ilvl w:val="0"/>
          <w:numId w:val="9"/>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波长：红625nm±</w:t>
      </w:r>
      <w:r>
        <w:rPr>
          <w:rFonts w:hint="eastAsia" w:ascii="宋体" w:hAnsi="宋体" w:eastAsia="宋体" w:cs="宋体"/>
          <w:sz w:val="24"/>
          <w:szCs w:val="24"/>
          <w:lang w:val="en-US" w:eastAsia="zh-CN"/>
        </w:rPr>
        <w:t xml:space="preserve">5nm</w:t>
      </w:r>
      <w:r>
        <w:rPr>
          <w:rFonts w:hint="eastAsia" w:ascii="宋体" w:hAnsi="宋体" w:eastAsia="宋体" w:cs="宋体"/>
          <w:sz w:val="24"/>
          <w:szCs w:val="24"/>
          <w:lang w:eastAsia="zh-CN"/>
        </w:rPr>
        <w:t xml:space="preserve">、黄590nm±</w:t>
      </w:r>
      <w:r>
        <w:rPr>
          <w:rFonts w:hint="eastAsia" w:ascii="宋体" w:hAnsi="宋体" w:eastAsia="宋体" w:cs="宋体"/>
          <w:sz w:val="24"/>
          <w:szCs w:val="24"/>
          <w:lang w:val="en-US" w:eastAsia="zh-CN"/>
        </w:rPr>
        <w:t xml:space="preserve">5nm</w:t>
      </w:r>
      <w:r>
        <w:rPr>
          <w:rFonts w:hint="eastAsia" w:ascii="宋体" w:hAnsi="宋体" w:eastAsia="宋体" w:cs="宋体"/>
          <w:sz w:val="24"/>
          <w:szCs w:val="24"/>
          <w:lang w:eastAsia="zh-CN"/>
        </w:rPr>
        <w:t xml:space="preserve">、绿505nm±</w:t>
      </w:r>
      <w:r>
        <w:rPr>
          <w:rFonts w:hint="eastAsia" w:ascii="宋体" w:hAnsi="宋体" w:eastAsia="宋体" w:cs="宋体"/>
          <w:sz w:val="24"/>
          <w:szCs w:val="24"/>
          <w:lang w:val="en-US" w:eastAsia="zh-CN"/>
        </w:rPr>
        <w:t xml:space="preserve">2nm</w:t>
      </w:r>
      <w:r>
        <w:rPr>
          <w:rFonts w:hint="eastAsia" w:ascii="宋体" w:hAnsi="宋体" w:eastAsia="宋体" w:cs="宋体"/>
          <w:sz w:val="24"/>
          <w:szCs w:val="24"/>
          <w:lang w:eastAsia="zh-CN"/>
        </w:rPr>
        <w:t xml:space="preserve">；</w:t>
      </w:r>
      <w:r/>
    </w:p>
    <w:p>
      <w:pPr>
        <w:numPr>
          <w:ilvl w:val="0"/>
          <w:numId w:val="9"/>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LED数量：（箭头灯）红、黄LED数量不少于120支、绿色不少于108支；（圆盘灯）红、黄LED数量不少于120支、绿色不少于108支；使用寿命≥10万小时</w:t>
      </w:r>
      <w:r>
        <w:rPr>
          <w:rFonts w:hint="eastAsia" w:ascii="宋体" w:hAnsi="宋体" w:cs="宋体"/>
          <w:sz w:val="24"/>
          <w:szCs w:val="24"/>
          <w:lang w:eastAsia="zh-CN"/>
        </w:rPr>
        <w:t xml:space="preserve">。</w:t>
      </w:r>
      <w:r/>
    </w:p>
    <w:p>
      <w:pPr>
        <w:spacing w:line="360" w:lineRule="auto"/>
        <w:rPr>
          <w:rFonts w:ascii="宋体" w:hAnsi="宋体" w:eastAsia="宋体" w:cs="宋体"/>
          <w:b/>
          <w:sz w:val="24"/>
        </w:rPr>
      </w:pPr>
      <w:r>
        <w:rPr>
          <w:rFonts w:hint="eastAsia" w:ascii="宋体" w:hAnsi="宋体" w:eastAsia="宋体" w:cs="宋体"/>
          <w:b/>
          <w:sz w:val="24"/>
          <w:lang w:eastAsia="zh-CN"/>
        </w:rPr>
        <w:t xml:space="preserve">1.</w:t>
      </w:r>
      <w:r>
        <w:rPr>
          <w:rFonts w:hint="eastAsia" w:ascii="宋体" w:hAnsi="宋体" w:cs="宋体"/>
          <w:b/>
          <w:sz w:val="24"/>
          <w:lang w:val="en-US" w:eastAsia="zh-CN"/>
        </w:rPr>
        <w:t xml:space="preserve">3</w:t>
      </w:r>
      <w:r>
        <w:rPr>
          <w:rFonts w:hint="eastAsia" w:ascii="宋体" w:hAnsi="宋体" w:eastAsia="宋体" w:cs="宋体"/>
          <w:b/>
          <w:sz w:val="24"/>
          <w:lang w:eastAsia="zh-CN"/>
        </w:rPr>
        <w:t xml:space="preserve">、</w:t>
      </w:r>
      <w:r>
        <w:rPr>
          <w:rFonts w:hint="eastAsia" w:ascii="宋体" w:hAnsi="宋体" w:eastAsia="宋体" w:cs="宋体"/>
          <w:b/>
          <w:sz w:val="24"/>
        </w:rPr>
        <w:t xml:space="preserve">行人灯</w:t>
      </w:r>
      <w:r/>
    </w:p>
    <w:p>
      <w:pPr>
        <w:numPr>
          <w:ilvl w:val="0"/>
          <w:numId w:val="10"/>
        </w:numPr>
        <w:jc w:val="both"/>
        <w:spacing w:line="360" w:lineRule="auto"/>
        <w:rPr>
          <w:rFonts w:ascii="宋体" w:hAnsi="宋体" w:eastAsia="宋体" w:cs="宋体"/>
          <w:sz w:val="24"/>
          <w:szCs w:val="24"/>
          <w:lang w:eastAsia="zh-CN"/>
        </w:rPr>
      </w:pPr>
      <w:r>
        <w:rPr>
          <w:rFonts w:hint="eastAsia" w:ascii="Calibri" w:hAnsi="Calibri" w:eastAsia="宋体" w:cs="Times New Roman"/>
          <w:spacing w:val="6"/>
          <w:sz w:val="24"/>
        </w:rPr>
        <w:t xml:space="preserve">★</w:t>
      </w:r>
      <w:r>
        <w:rPr>
          <w:rFonts w:hint="eastAsia" w:ascii="宋体" w:hAnsi="宋体" w:eastAsia="宋体" w:cs="宋体"/>
          <w:sz w:val="24"/>
          <w:szCs w:val="24"/>
          <w:lang w:eastAsia="zh-CN"/>
        </w:rPr>
        <w:t xml:space="preserve">标准：符合中华人民共和国</w:t>
      </w:r>
      <w:r>
        <w:rPr>
          <w:rFonts w:hint="eastAsia" w:ascii="宋体" w:hAnsi="宋体" w:eastAsia="宋体" w:cs="宋体"/>
          <w:sz w:val="24"/>
          <w:szCs w:val="24"/>
          <w:highlight w:val="none"/>
          <w:lang w:eastAsia="zh-CN"/>
        </w:rPr>
        <w:t xml:space="preserve">《道路交通信号灯》</w:t>
      </w:r>
      <w:r>
        <w:rPr>
          <w:rFonts w:hint="eastAsia" w:ascii="Calibri" w:hAnsi="Calibri"/>
          <w:color w:val="auto"/>
          <w:spacing w:val="6"/>
          <w:sz w:val="24"/>
          <w:szCs w:val="22"/>
          <w:highlight w:val="none"/>
          <w:lang w:eastAsia="zh-CN"/>
        </w:rPr>
        <w:t xml:space="preserve">（GB14887-2011）</w:t>
      </w:r>
      <w:r>
        <w:rPr>
          <w:rFonts w:hint="eastAsia" w:ascii="宋体" w:hAnsi="宋体" w:eastAsia="宋体" w:cs="宋体"/>
          <w:sz w:val="24"/>
          <w:szCs w:val="24"/>
          <w:lang w:eastAsia="zh-CN"/>
        </w:rPr>
        <w:t xml:space="preserve">标准；</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外观设计：外观必须为LED光源所设计，结构为超薄化，Φ300mm，透光面的灯具厚度为110mm，外观与金湖道路上现有信号灯保持一致；</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透光设计：透光镜片的外表面采用倾斜面设计，能防止透光镜片积累灰尘；</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外壳材料：灯具为铝压铸材料一次压铸</w:t>
      </w:r>
      <w:r>
        <w:rPr>
          <w:rFonts w:hint="eastAsia" w:ascii="宋体" w:hAnsi="宋体" w:cs="宋体"/>
          <w:sz w:val="24"/>
          <w:szCs w:val="24"/>
          <w:highlight w:val="none"/>
          <w:lang w:eastAsia="zh-CN"/>
        </w:rPr>
        <w:t xml:space="preserve">成形</w:t>
      </w:r>
      <w:r>
        <w:rPr>
          <w:rFonts w:hint="eastAsia" w:ascii="宋体" w:hAnsi="宋体" w:eastAsia="宋体" w:cs="宋体"/>
          <w:sz w:val="24"/>
          <w:szCs w:val="24"/>
          <w:lang w:eastAsia="zh-CN"/>
        </w:rPr>
        <w:t xml:space="preserve">，使用寿命≥25年，涂成黑色；</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光源：光源采用四元素超高亮度发光二极管（LED），具有寿命长、功耗低、外观新颖等特点。使用寿命≥10万小时；</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额定电压：AC176～264V,50HZ；</w:t>
      </w:r>
      <w:r/>
    </w:p>
    <w:p>
      <w:pPr>
        <w:numPr>
          <w:ilvl w:val="0"/>
          <w:numId w:val="10"/>
        </w:numPr>
        <w:jc w:val="both"/>
        <w:spacing w:line="360" w:lineRule="auto"/>
        <w:rPr>
          <w:rFonts w:ascii="宋体" w:hAnsi="宋体" w:eastAsia="宋体" w:cs="宋体"/>
          <w:sz w:val="24"/>
          <w:szCs w:val="24"/>
          <w:highlight w:val="none"/>
          <w:lang w:eastAsia="zh-CN"/>
        </w:rPr>
      </w:pPr>
      <w:r>
        <w:rPr>
          <w:rFonts w:hint="eastAsia" w:ascii="Calibri" w:hAnsi="Calibri" w:eastAsia="宋体" w:cs="Times New Roman"/>
          <w:spacing w:val="6"/>
          <w:sz w:val="24"/>
        </w:rPr>
        <w:t xml:space="preserve">★</w:t>
      </w:r>
      <w:r>
        <w:rPr>
          <w:rFonts w:hint="eastAsia" w:ascii="宋体" w:hAnsi="宋体" w:eastAsia="宋体" w:cs="宋体"/>
          <w:sz w:val="24"/>
          <w:szCs w:val="24"/>
          <w:lang w:eastAsia="zh-CN"/>
        </w:rPr>
        <w:t xml:space="preserve">发光强度：</w:t>
      </w:r>
      <w:r>
        <w:rPr>
          <w:rFonts w:hint="eastAsia" w:ascii="Calibri" w:hAnsi="Calibri"/>
          <w:color w:val="auto"/>
          <w:spacing w:val="6"/>
          <w:sz w:val="24"/>
          <w:szCs w:val="22"/>
          <w:highlight w:val="none"/>
        </w:rPr>
        <w:t xml:space="preserve">符合《道路交通信号灯》（GB14887-2011）</w:t>
      </w:r>
      <w:r>
        <w:rPr>
          <w:rFonts w:hint="eastAsia" w:ascii="Calibri" w:hAnsi="Calibri"/>
          <w:color w:val="auto"/>
          <w:spacing w:val="6"/>
          <w:sz w:val="24"/>
          <w:szCs w:val="22"/>
          <w:highlight w:val="none"/>
          <w:lang w:val="en-US" w:eastAsia="zh-CN"/>
        </w:rPr>
        <w:t xml:space="preserve">中5.2光学性能要求</w:t>
      </w:r>
      <w:r>
        <w:rPr>
          <w:rFonts w:hint="eastAsia" w:ascii="宋体" w:hAnsi="宋体" w:eastAsia="宋体" w:cs="宋体"/>
          <w:sz w:val="24"/>
          <w:szCs w:val="24"/>
          <w:highlight w:val="none"/>
          <w:lang w:eastAsia="zh-CN"/>
        </w:rPr>
        <w:t xml:space="preserve">；</w:t>
      </w:r>
      <w:r/>
    </w:p>
    <w:p>
      <w:pPr>
        <w:numPr>
          <w:ilvl w:val="0"/>
          <w:numId w:val="10"/>
        </w:numPr>
        <w:jc w:val="both"/>
        <w:spacing w:line="360" w:lineRule="auto"/>
        <w:rPr>
          <w:rFonts w:ascii="宋体" w:hAnsi="宋体" w:eastAsia="宋体" w:cs="宋体"/>
          <w:sz w:val="24"/>
          <w:szCs w:val="24"/>
          <w:highlight w:val="none"/>
          <w:lang w:eastAsia="zh-CN"/>
        </w:rPr>
      </w:pPr>
      <w:r>
        <w:rPr>
          <w:rFonts w:hint="eastAsia" w:ascii="Calibri" w:hAnsi="Calibri" w:eastAsia="宋体" w:cs="Times New Roman"/>
          <w:spacing w:val="6"/>
          <w:sz w:val="24"/>
          <w:highlight w:val="none"/>
        </w:rPr>
        <w:t xml:space="preserve">★</w:t>
      </w:r>
      <w:r>
        <w:rPr>
          <w:rFonts w:hint="eastAsia" w:ascii="宋体" w:hAnsi="宋体" w:eastAsia="宋体" w:cs="宋体"/>
          <w:sz w:val="24"/>
          <w:szCs w:val="24"/>
          <w:highlight w:val="none"/>
          <w:lang w:eastAsia="zh-CN"/>
        </w:rPr>
        <w:t xml:space="preserve">色度：</w:t>
      </w:r>
      <w:r>
        <w:rPr>
          <w:rFonts w:hint="eastAsia" w:ascii="Calibri" w:hAnsi="Calibri"/>
          <w:color w:val="auto"/>
          <w:spacing w:val="6"/>
          <w:sz w:val="24"/>
          <w:szCs w:val="22"/>
          <w:highlight w:val="none"/>
        </w:rPr>
        <w:t xml:space="preserve">符合《道路交通信号灯》（GB14887-2011）</w:t>
      </w:r>
      <w:r>
        <w:rPr>
          <w:rFonts w:hint="eastAsia" w:ascii="Calibri" w:hAnsi="Calibri"/>
          <w:color w:val="auto"/>
          <w:spacing w:val="6"/>
          <w:sz w:val="24"/>
          <w:szCs w:val="22"/>
          <w:highlight w:val="none"/>
          <w:lang w:val="en-US" w:eastAsia="zh-CN"/>
        </w:rPr>
        <w:t xml:space="preserve">中5.4色度性能要求</w:t>
      </w:r>
      <w:r>
        <w:rPr>
          <w:rFonts w:hint="eastAsia" w:ascii="宋体" w:hAnsi="宋体" w:eastAsia="宋体" w:cs="宋体"/>
          <w:sz w:val="24"/>
          <w:szCs w:val="24"/>
          <w:highlight w:val="none"/>
          <w:lang w:eastAsia="zh-CN"/>
        </w:rPr>
        <w:t xml:space="preserve">；</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光源寿命：≥10万小时；</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可视角度：≥30°；</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可视距离：≥300m；</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外壳防护等级：≥IP53；</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耐温：－40℃～+75℃；</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湿热性能：温度为40℃时，空气相对湿度≤93％±2％；</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绝缘电阻：≥10MΩ；</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介电强度：耐压1440VAC；</w:t>
      </w:r>
      <w:r/>
    </w:p>
    <w:p>
      <w:pPr>
        <w:numPr>
          <w:ilvl w:val="0"/>
          <w:numId w:val="10"/>
        </w:numPr>
        <w:jc w:val="both"/>
        <w:spacing w:line="360" w:lineRule="auto"/>
        <w:rPr>
          <w:rFonts w:ascii="宋体" w:hAnsi="宋体" w:eastAsia="宋体" w:cs="宋体"/>
          <w:sz w:val="24"/>
          <w:szCs w:val="24"/>
          <w:highlight w:val="none"/>
          <w:lang w:eastAsia="zh-CN"/>
        </w:rPr>
      </w:pPr>
      <w:r>
        <w:rPr>
          <w:rFonts w:hint="eastAsia" w:ascii="宋体" w:hAnsi="宋体" w:eastAsia="宋体" w:cs="宋体"/>
          <w:sz w:val="24"/>
          <w:szCs w:val="24"/>
          <w:lang w:eastAsia="zh-CN"/>
        </w:rPr>
        <w:t xml:space="preserve">防尘：</w:t>
      </w:r>
      <w:r>
        <w:rPr>
          <w:rFonts w:hint="eastAsia" w:ascii="宋体" w:hAnsi="宋体" w:eastAsia="宋体" w:cs="宋体"/>
          <w:sz w:val="24"/>
          <w:szCs w:val="24"/>
          <w:highlight w:val="none"/>
          <w:lang w:eastAsia="zh-CN"/>
        </w:rPr>
        <w:t xml:space="preserve">信号灯的防尘等级应不低于GB4208中规定的IP5X，即防尘。试验后，信号灯应承受介电强度试验，并且信号灯壳体内应无滑石粉沉积，发光单元内应无滑石粉痕迹；</w:t>
      </w:r>
      <w:r/>
    </w:p>
    <w:p>
      <w:pPr>
        <w:numPr>
          <w:ilvl w:val="0"/>
          <w:numId w:val="10"/>
        </w:numPr>
        <w:jc w:val="both"/>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抗振动：信号灯在额定电压下以正常工作状态固定在振动台上，对其进行前后、左右、上下方向上的振动每个方向振动20个周期。试验中及试验后，信号灯应能正常工作，紧固部件应无松动，无机械损伤，无电器接触不良现象；</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抗风压：145km/h；</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红、绿二色行人图案单屏显示（绿色行人图案具有动感，分六个步骤完成动作，图案更形象，逼真）</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单灯功率：红、绿灯均不大于10W；</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LED数量：红LED数量≥75支，绿LED数量≥66支 5腿绿人≥125支；</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波长：红625nm、绿505nm；</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灯芯尺寸：≥292（MM),二连体动态；</w:t>
      </w:r>
      <w:r/>
    </w:p>
    <w:p>
      <w:pPr>
        <w:spacing w:line="360" w:lineRule="auto"/>
        <w:rPr>
          <w:rFonts w:ascii="宋体" w:hAnsi="宋体" w:eastAsia="宋体" w:cs="宋体"/>
          <w:b/>
          <w:sz w:val="24"/>
          <w:lang w:eastAsia="zh-CN"/>
        </w:rPr>
      </w:pPr>
      <w:r>
        <w:rPr>
          <w:rFonts w:hint="eastAsia" w:ascii="宋体" w:hAnsi="宋体" w:eastAsia="宋体" w:cs="宋体"/>
          <w:b/>
          <w:sz w:val="24"/>
          <w:lang w:eastAsia="zh-CN"/>
        </w:rPr>
        <w:t xml:space="preserve">1.</w:t>
      </w:r>
      <w:r>
        <w:rPr>
          <w:rFonts w:hint="eastAsia" w:ascii="宋体" w:hAnsi="宋体" w:cs="宋体"/>
          <w:b/>
          <w:sz w:val="24"/>
          <w:lang w:val="en-US" w:eastAsia="zh-CN"/>
        </w:rPr>
        <w:t xml:space="preserve">4</w:t>
      </w:r>
      <w:r>
        <w:rPr>
          <w:rFonts w:hint="eastAsia" w:ascii="宋体" w:hAnsi="宋体" w:eastAsia="宋体" w:cs="宋体"/>
          <w:b/>
          <w:sz w:val="24"/>
          <w:lang w:eastAsia="zh-CN"/>
        </w:rPr>
        <w:t xml:space="preserve">、倒计时器</w:t>
      </w:r>
      <w:r/>
    </w:p>
    <w:p>
      <w:pPr>
        <w:spacing w:line="360" w:lineRule="auto"/>
        <w:rPr>
          <w:rFonts w:ascii="宋体" w:hAnsi="宋体" w:eastAsia="宋体" w:cs="宋体"/>
          <w:b/>
          <w:sz w:val="24"/>
          <w:lang w:eastAsia="zh-CN"/>
        </w:rPr>
      </w:pPr>
      <w:r>
        <w:rPr>
          <w:rFonts w:hint="eastAsia" w:ascii="宋体" w:hAnsi="宋体" w:eastAsia="宋体" w:cs="宋体"/>
          <w:b/>
          <w:sz w:val="24"/>
          <w:lang w:eastAsia="zh-CN"/>
        </w:rPr>
        <w:t xml:space="preserve">（1)600*800型通讯式信号倒计时器</w:t>
      </w:r>
      <w:r/>
    </w:p>
    <w:p>
      <w:pPr>
        <w:numPr>
          <w:ilvl w:val="0"/>
          <w:numId w:val="11"/>
        </w:numPr>
        <w:jc w:val="both"/>
        <w:spacing w:line="360" w:lineRule="auto"/>
        <w:rPr>
          <w:rFonts w:ascii="宋体" w:hAnsi="宋体" w:eastAsia="宋体" w:cs="宋体"/>
          <w:sz w:val="24"/>
          <w:szCs w:val="24"/>
          <w:lang w:eastAsia="zh-CN"/>
        </w:rPr>
      </w:pPr>
      <w:r>
        <w:rPr>
          <w:rFonts w:hint="eastAsia" w:ascii="Calibri" w:hAnsi="Calibri" w:eastAsia="宋体" w:cs="Times New Roman"/>
          <w:spacing w:val="6"/>
          <w:sz w:val="24"/>
        </w:rPr>
        <w:t xml:space="preserve">★</w:t>
      </w:r>
      <w:r>
        <w:rPr>
          <w:rFonts w:hint="eastAsia" w:ascii="宋体" w:hAnsi="宋体" w:eastAsia="宋体" w:cs="宋体"/>
          <w:sz w:val="24"/>
          <w:szCs w:val="24"/>
          <w:lang w:eastAsia="zh-CN"/>
        </w:rPr>
        <w:t xml:space="preserve">倒计时器符合GA/T508-2014、GB14887-2011标准；</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内置软件、硬件采用看门狗电路，工作稳定可靠；</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外壳采用铝合金结构，工艺精细、外表美观，重量轻，不生锈，防尘，防水，使用寿命≥10年；</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光源采用四元素超亮度发光二极管(LED)，亮度高，功耗低，使用寿命大于10万小时；</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采用单片机控制，自动检测信号时间，信号闪烁（例如绿闪）时，不影响数字显示机的正常工作；</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倒计时器控制软件自行设计，具有源代码和自主知识版权，路口运行自适应方式时，内置式倒计时器能适应变化的交通信号配时时间；</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倒计时器不会出现倒计时和交通信号灯不同步的情况，保证倒计时器和交通信号控制机无缝配合工作；</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数码显示倒计时器以标准7段码形式显示两位数字，最大显示数字为99。采用封胶处理，具备防水、不积尘功能，每个笔画段内集成红、黄、绿三种独立LED发光管，与信号灯显示颜色一致；</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在正常状态下，倒计时器的显示连贯递减，无乱码、丢码等现象；通讯中断时，或者道路交通信号控制机由自动控制转入手动控制时，倒计时器能在2秒之内显示黑屏。当道路交通信号机中断输出，或转入黄闪控制后，倒计时器应能在当前信号相位结束时间内显示黑屏；</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外形要求：外形为方形，外形尺寸美观牢固，遮阳帽伸出长度大于300mm；</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显示数字：字体尺寸为单字高500mm、单字宽250mm，笔划宽不小于50mm，数字间距离大于50mm。考虑到美观，在高、宽方面可作小范围适量调整；</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电源范围：电压：AC176V~264V，频率：50HZ±2HZ；</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绝缘性：带电部分和箱体之间绝缘电阻大于10MΩ，绝缘耐压大于1.5KV；</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亮度等级：0度：＞4000坎德拉每平方米，10度：＞1200坎德拉每平方米；</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可视角度：大于30度º；</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LED波长红色：625±5nm；黄色：590±5nm；绿色：505±2nm；</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工作环境温度：－40℃～75℃；</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工作环境湿度：5％～95％；</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平均无故障时间（MTBF）：≥30000H；</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防护等级：≥IP53。</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单灯功率：红、黄、绿均≤20VA；  </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工作方式 ：支持学习式、通讯式、脉冲式兼容；</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红LED数量：≥392支，黄LED数量：≥168支  绿LED数量：≥280支；</w:t>
      </w:r>
      <w:r/>
    </w:p>
    <w:p>
      <w:pPr>
        <w:numPr>
          <w:ilvl w:val="0"/>
          <w:numId w:val="0"/>
        </w:numPr>
        <w:jc w:val="both"/>
        <w:spacing w:line="360" w:lineRule="auto"/>
        <w:rPr>
          <w:rFonts w:ascii="宋体" w:hAnsi="宋体" w:eastAsia="宋体" w:cs="宋体"/>
          <w:b/>
          <w:sz w:val="24"/>
          <w:lang w:eastAsia="zh-CN"/>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lang w:eastAsia="zh-CN"/>
        </w:rPr>
        <w:t xml:space="preserve">单灯亮度：红灯、黄灯≥8500cd/㎡；绿灯≥11500cm/㎡；</w:t>
      </w:r>
      <w:r/>
    </w:p>
    <w:p>
      <w:pPr>
        <w:numPr>
          <w:ilvl w:val="0"/>
          <w:numId w:val="0"/>
        </w:numPr>
        <w:jc w:val="both"/>
        <w:spacing w:line="360" w:lineRule="auto"/>
        <w:rPr>
          <w:rFonts w:ascii="宋体" w:hAnsi="宋体" w:eastAsia="宋体" w:cs="宋体"/>
          <w:b/>
          <w:sz w:val="24"/>
          <w:lang w:eastAsia="zh-CN"/>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eastAsia="zh-CN"/>
        </w:rPr>
        <w:t xml:space="preserve">灯芯尺寸：515×580（mm）、 外形尺寸：600×800（mm）；</w:t>
      </w:r>
      <w:r/>
    </w:p>
    <w:p>
      <w:pPr>
        <w:numPr>
          <w:ilvl w:val="0"/>
          <w:numId w:val="0"/>
        </w:numPr>
        <w:jc w:val="both"/>
        <w:spacing w:line="360" w:lineRule="auto"/>
        <w:rPr>
          <w:rFonts w:ascii="宋体" w:hAnsi="宋体" w:eastAsia="宋体" w:cs="宋体"/>
          <w:b/>
          <w:sz w:val="24"/>
          <w:lang w:eastAsia="zh-CN"/>
        </w:rPr>
      </w:pPr>
      <w:r>
        <w:rPr>
          <w:rFonts w:hint="eastAsia" w:ascii="宋体" w:hAnsi="宋体" w:eastAsia="宋体" w:cs="宋体"/>
          <w:sz w:val="24"/>
          <w:szCs w:val="24"/>
          <w:lang w:val="en-US" w:eastAsia="zh-CN"/>
        </w:rPr>
        <w:t xml:space="preserve">26、</w:t>
      </w:r>
      <w:r>
        <w:rPr>
          <w:rFonts w:hint="eastAsia" w:ascii="宋体" w:hAnsi="宋体" w:cs="宋体"/>
          <w:sz w:val="24"/>
          <w:szCs w:val="24"/>
          <w:highlight w:val="none"/>
          <w:lang w:val="en-US" w:eastAsia="zh-CN"/>
        </w:rPr>
        <w:t xml:space="preserve">泄漏电流</w:t>
      </w:r>
      <w:r>
        <w:rPr>
          <w:rFonts w:hint="eastAsia" w:ascii="宋体" w:hAnsi="宋体" w:eastAsia="宋体" w:cs="宋体"/>
          <w:sz w:val="24"/>
          <w:szCs w:val="24"/>
          <w:lang w:eastAsia="zh-CN"/>
        </w:rPr>
        <w:t xml:space="preserve">：倒计时器电源各极与壳体之间的泄漏电流≤1MA;</w:t>
      </w:r>
      <w:r/>
    </w:p>
    <w:p>
      <w:pPr>
        <w:numPr>
          <w:ilvl w:val="0"/>
          <w:numId w:val="0"/>
        </w:numPr>
        <w:jc w:val="both"/>
        <w:spacing w:line="360" w:lineRule="auto"/>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（2）640±50mm*960±50mmLED显示屏</w:t>
      </w:r>
      <w:r/>
    </w:p>
    <w:p>
      <w:pPr>
        <w:jc w:val="both"/>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整屏技术参数：</w:t>
      </w:r>
      <w:r/>
    </w:p>
    <w:p>
      <w:pPr>
        <w:numPr>
          <w:ilvl w:val="0"/>
          <w:numId w:val="12"/>
        </w:numPr>
        <w:jc w:val="both"/>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外形尺寸：(640±50mm)*(960±50mm)*(100±10mm)；</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箱体材质：冷轧钢板防锈喷塑处理；</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整机重量：约30KG； </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额定功率：500W；</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工作电压：AC187~253V，50/60Hz；</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工作温度：-40~+75℃；</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防护湿度：＜75% ；</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防护等级：IP54 ；</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发光亮度：红色单管＞2800mcd，绿色单管＞4200mcd；</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发光波长：红色（620~625nm），绿色（504~508nm）；</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LED使用寿命：＞5W小时 ；</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可视距离：≥300m ；</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排列方式：点阵式 ；</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工作方式：学习式、通讯式、脉冲式、倒9秒式；</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制造标准：GAT508-2014、SJ/T 11141—2012；</w:t>
      </w:r>
      <w:r/>
    </w:p>
    <w:p>
      <w:pPr>
        <w:jc w:val="both"/>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子模块参数：</w:t>
      </w:r>
      <w:r/>
    </w:p>
    <w:p>
      <w:pPr>
        <w:jc w:val="both"/>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（A)P10双色模组：</w:t>
      </w:r>
      <w:r/>
    </w:p>
    <w:p>
      <w:p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1、户外P10恒流四扫双色模组主要是由红色LED、绿色LED组成矩阵，然后再固定到塑胶套件上而成； </w:t>
      </w:r>
      <w:r/>
    </w:p>
    <w:p>
      <w:p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2、此模组含有驱动芯片和输入缓冲芯片，连接到LED显示屏控制系统即可显示视频、图像和文字信息等； </w:t>
      </w:r>
      <w:r/>
    </w:p>
    <w:p>
      <w:p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3、通过OE信号驱动红色LED、绿色LED的驱动芯片，可形成65,536种颜色变换；</w:t>
      </w:r>
      <w:r/>
    </w:p>
    <w:p>
      <w:p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4、此模组可以按水平和垂直方向任意拼接，从而拼成不同大小的显示屏；</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综合：用高亮度的LED和优质的塑胶件；高对比度可达到良好的显示效果；重量轻易于安装、拆卸；采用恒流方式驱动LED，发光均匀，功耗低；像素间距为10mm，共有32*16个像素点，每个像素点由1R1G组成。</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扫描方式：1/4扫描；</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结构特点：灯驱合一；</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点间距：10MM;</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模组尺寸：320*160；</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像素密度：10000点/M2;</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亮度：不小于3000CD/M2;</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最大电流：3.2A;</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最佳视距：不小于10M;</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可视角度：水平80°、垂直45°；</w:t>
      </w:r>
      <w:r/>
    </w:p>
    <w:p>
      <w:pPr>
        <w:jc w:val="both"/>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(B)显示屏电源模块：</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1、规格尺寸：199*110*50MM;</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2、可靠性：可靠性高、带载能力强；</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3、保护功能：过载/短路保护；</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4、输入电压/输入频率：176-264vAC/47-63HZ;</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5、浪涌电流：冷启动，40A/230VAC;</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6、输入过载保护：110%-150%切断输出，输入重启后；</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7、上升保持时间：50MS,20MS额定满载；</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8、工作温度：-30°C---+60°C；</w:t>
      </w:r>
      <w:r/>
    </w:p>
    <w:p>
      <w:pPr>
        <w:jc w:val="both"/>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(C)主控板模块：</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1、内置软件、硬件采用看门狗电路，工作稳定可靠;</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2、采用单片机控制，自动检测信号时间，信号闪烁（例如绿闪）时，不影响数字显示机的正常工作；</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3、控制软件自行设计，路口运行自适应方式时，内置式倒计时器能适应变化的交通信号配时时间,运行呈9秒显示；</w:t>
      </w:r>
      <w:r/>
    </w:p>
    <w:p>
      <w:pPr>
        <w:jc w:val="both"/>
        <w:spacing w:line="360" w:lineRule="auto"/>
        <w:widowControl w:val="off"/>
        <w:rPr>
          <w:rFonts w:hint="default" w:eastAsia="宋体"/>
          <w:b/>
          <w:bCs/>
          <w:color w:val="ff0000"/>
          <w:highlight w:val="yellow"/>
          <w:lang w:val="en-US" w:eastAsia="zh-CN"/>
        </w:rPr>
      </w:pPr>
      <w:r>
        <w:rPr>
          <w:rFonts w:hint="eastAsia" w:ascii="宋体" w:hAnsi="宋体" w:eastAsia="宋体" w:cs="宋体"/>
          <w:sz w:val="24"/>
          <w:szCs w:val="24"/>
          <w:lang w:eastAsia="zh-CN"/>
        </w:rPr>
        <w:t xml:space="preserve">4、支持多种通信方式（串口、网口、蓝牙、WIFI等）现场或远程对LED显示屏进行信息编辑；</w:t>
      </w:r>
      <w:r/>
    </w:p>
    <w:p>
      <w:pPr>
        <w:pStyle w:val="1096"/>
        <w:numPr>
          <w:ilvl w:val="0"/>
          <w:numId w:val="14"/>
        </w:numPr>
        <w:spacing w:line="360" w:lineRule="auto"/>
        <w:rPr>
          <w:rFonts w:hint="eastAsia" w:ascii="宋体" w:hAnsi="宋体" w:eastAsia="宋体" w:cs="宋体"/>
          <w:b/>
          <w:bCs/>
        </w:rPr>
      </w:pPr>
      <w:r>
        <w:rPr>
          <w:rFonts w:hint="eastAsia" w:ascii="宋体" w:hAnsi="宋体" w:eastAsia="宋体" w:cs="宋体"/>
          <w:b/>
          <w:bCs/>
        </w:rPr>
        <w:t xml:space="preserve">智能交通管控抓拍系统</w:t>
      </w:r>
      <w:r/>
    </w:p>
    <w:p>
      <w:pPr>
        <w:jc w:val="left"/>
        <w:keepLines w:val="0"/>
        <w:keepNext w:val="0"/>
        <w:pageBreakBefore w:val="0"/>
        <w:spacing w:line="460" w:lineRule="exact"/>
        <w:rPr>
          <w:rFonts w:hint="eastAsia" w:ascii="宋体" w:hAnsi="宋体" w:cs="宋体"/>
          <w:b/>
          <w:sz w:val="24"/>
          <w:highlight w:val="none"/>
        </w:rPr>
        <w:outlineLvl w:val="9"/>
      </w:pPr>
      <w:r>
        <w:rPr>
          <w:rFonts w:hint="eastAsia" w:ascii="宋体" w:hAnsi="宋体" w:cs="宋体"/>
          <w:b/>
          <w:sz w:val="24"/>
          <w:highlight w:val="none"/>
        </w:rPr>
        <w:t xml:space="preserve">集成指挥平台外挂接口参数：</w:t>
      </w:r>
      <w:r/>
    </w:p>
    <w:p>
      <w:pPr>
        <w:ind w:firstLine="504"/>
        <w:spacing w:line="360" w:lineRule="auto"/>
        <w:rPr>
          <w:rFonts w:hint="eastAsia" w:ascii="Calibri" w:hAnsi="Calibri" w:eastAsia="宋体" w:cs="Times New Roman"/>
          <w:spacing w:val="6"/>
          <w:sz w:val="24"/>
        </w:rPr>
      </w:pPr>
      <w:r>
        <w:rPr>
          <w:rFonts w:hint="eastAsia" w:ascii="Calibri" w:hAnsi="Calibri" w:eastAsia="宋体" w:cs="Times New Roman"/>
          <w:spacing w:val="6"/>
          <w:sz w:val="24"/>
        </w:rPr>
        <w:t xml:space="preserve">（一）60W21非机动车违法线索写入接口</w:t>
      </w:r>
      <w:r/>
    </w:p>
    <w:p>
      <w:pPr>
        <w:ind w:firstLine="504"/>
        <w:spacing w:line="360" w:lineRule="auto"/>
        <w:rPr>
          <w:rFonts w:hint="eastAsia" w:ascii="Calibri" w:hAnsi="Calibri" w:eastAsia="宋体" w:cs="Times New Roman"/>
          <w:spacing w:val="6"/>
          <w:sz w:val="24"/>
        </w:rPr>
      </w:pPr>
      <w:r>
        <w:rPr>
          <w:rFonts w:hint="eastAsia" w:ascii="Calibri" w:hAnsi="Calibri" w:eastAsia="宋体" w:cs="Times New Roman"/>
          <w:spacing w:val="6"/>
          <w:sz w:val="24"/>
        </w:rPr>
        <w:t xml:space="preserve">（1）接口来源：集成平台</w:t>
      </w:r>
      <w:r/>
    </w:p>
    <w:p>
      <w:pPr>
        <w:ind w:firstLine="504"/>
        <w:spacing w:line="360" w:lineRule="auto"/>
        <w:rPr>
          <w:rFonts w:hint="eastAsia" w:ascii="Calibri" w:hAnsi="Calibri" w:eastAsia="宋体" w:cs="Times New Roman"/>
          <w:spacing w:val="6"/>
          <w:sz w:val="24"/>
        </w:rPr>
      </w:pPr>
      <w:r>
        <w:rPr>
          <w:rFonts w:hint="eastAsia" w:ascii="Calibri" w:hAnsi="Calibri" w:eastAsia="宋体" w:cs="Times New Roman"/>
          <w:spacing w:val="6"/>
          <w:sz w:val="24"/>
        </w:rPr>
        <w:t xml:space="preserve">（2）接口类型：写入类接口</w:t>
      </w:r>
      <w:r/>
    </w:p>
    <w:p>
      <w:pPr>
        <w:ind w:firstLine="504"/>
        <w:spacing w:line="360" w:lineRule="auto"/>
        <w:rPr>
          <w:rFonts w:hint="eastAsia" w:ascii="Calibri" w:hAnsi="Calibri" w:eastAsia="宋体" w:cs="Times New Roman"/>
          <w:spacing w:val="6"/>
          <w:sz w:val="24"/>
        </w:rPr>
      </w:pPr>
      <w:r>
        <w:rPr>
          <w:rFonts w:hint="eastAsia" w:ascii="Calibri" w:hAnsi="Calibri" w:eastAsia="宋体" w:cs="Times New Roman"/>
          <w:spacing w:val="6"/>
          <w:sz w:val="24"/>
        </w:rPr>
        <w:t xml:space="preserve">（3）系统类别：60</w:t>
      </w:r>
      <w:r/>
    </w:p>
    <w:p>
      <w:pPr>
        <w:ind w:firstLine="504"/>
        <w:spacing w:line="360" w:lineRule="auto"/>
        <w:rPr>
          <w:rFonts w:hint="eastAsia" w:ascii="Calibri" w:hAnsi="Calibri" w:eastAsia="宋体" w:cs="Times New Roman"/>
          <w:spacing w:val="6"/>
          <w:sz w:val="24"/>
        </w:rPr>
      </w:pPr>
      <w:r>
        <w:rPr>
          <w:rFonts w:hint="eastAsia" w:ascii="Calibri" w:hAnsi="Calibri" w:eastAsia="宋体" w:cs="Times New Roman"/>
          <w:spacing w:val="6"/>
          <w:sz w:val="24"/>
        </w:rPr>
        <w:t xml:space="preserve">（4）接口ID：60W21</w:t>
      </w:r>
      <w:r/>
    </w:p>
    <w:p>
      <w:pPr>
        <w:ind w:firstLine="504"/>
        <w:spacing w:line="360" w:lineRule="auto"/>
        <w:rPr>
          <w:rFonts w:hint="eastAsia" w:ascii="Calibri" w:hAnsi="Calibri" w:eastAsia="宋体" w:cs="Times New Roman"/>
          <w:spacing w:val="6"/>
          <w:sz w:val="24"/>
        </w:rPr>
      </w:pPr>
      <w:r>
        <w:rPr>
          <w:rFonts w:hint="eastAsia" w:ascii="Calibri" w:hAnsi="Calibri" w:eastAsia="宋体" w:cs="Times New Roman"/>
          <w:spacing w:val="6"/>
          <w:sz w:val="24"/>
        </w:rPr>
        <w:t xml:space="preserve">（5）节点名称：surnonveh</w:t>
      </w:r>
      <w:r/>
    </w:p>
    <w:p>
      <w:pPr>
        <w:ind w:firstLine="504"/>
        <w:spacing w:line="360" w:lineRule="auto"/>
        <w:rPr>
          <w:rFonts w:hint="eastAsia" w:ascii="Calibri" w:hAnsi="Calibri" w:eastAsia="宋体" w:cs="Times New Roman"/>
          <w:spacing w:val="6"/>
          <w:sz w:val="24"/>
        </w:rPr>
      </w:pPr>
      <w:r>
        <w:rPr>
          <w:rFonts w:hint="eastAsia" w:ascii="Calibri" w:hAnsi="Calibri" w:eastAsia="宋体" w:cs="Times New Roman"/>
          <w:spacing w:val="6"/>
          <w:sz w:val="24"/>
        </w:rPr>
        <w:t xml:space="preserve"> 处理说明：提供给执法取证设备将抓拍的电动自行车非现场交通违法线索写入集成指挥平台，该接口基于公安网或视频专网的接入服务程序（rminf）进行调用；</w:t>
      </w:r>
      <w:r/>
    </w:p>
    <w:p>
      <w:pPr>
        <w:ind w:firstLine="504"/>
        <w:spacing w:line="360" w:lineRule="auto"/>
        <w:rPr>
          <w:rFonts w:hint="eastAsia" w:ascii="Calibri" w:hAnsi="Calibri" w:eastAsia="宋体" w:cs="Times New Roman"/>
          <w:spacing w:val="6"/>
          <w:sz w:val="24"/>
        </w:rPr>
      </w:pPr>
      <w:r>
        <w:rPr>
          <w:rFonts w:hint="eastAsia" w:ascii="Calibri" w:hAnsi="Calibri" w:eastAsia="宋体" w:cs="Times New Roman"/>
          <w:spacing w:val="6"/>
          <w:sz w:val="24"/>
        </w:rPr>
        <w:t xml:space="preserve"> 写入参数：具体字段见下表</w:t>
      </w:r>
      <w:r/>
    </w:p>
    <w:tbl>
      <w:tblPr>
        <w:tblStyle w:val="1138"/>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456"/>
        <w:gridCol w:w="938"/>
        <w:gridCol w:w="1593"/>
        <w:gridCol w:w="657"/>
        <w:gridCol w:w="693"/>
        <w:gridCol w:w="5063"/>
      </w:tblGrid>
      <w:tr>
        <w:trPr>
          <w:jc w:val="center"/>
          <w:trHeight w:val="285"/>
        </w:trPr>
        <w:tc>
          <w:tcPr>
            <w:shd w:val="clear" w:color="auto" w:fill="ffffff" w:themeFill="background1"/>
            <w:tcBorders>
              <w:insideV w:val="none" w:color="000000" w:sz="4" w:space="0"/>
            </w:tcBorders>
            <w:tcW w:w="456" w:type="dxa"/>
            <w:textDirection w:val="lrTb"/>
            <w:noWrap w:val="false"/>
          </w:tcPr>
          <w:p>
            <w:pPr>
              <w:jc w:val="center"/>
              <w:spacing w:line="400" w:lineRule="exact"/>
              <w:rPr>
                <w:rFonts w:ascii="Times New Roman" w:hAnsi="Times New Roman" w:eastAsia="宋体" w:cs="Times New Roman"/>
                <w:b/>
                <w:bCs/>
                <w:color w:val="auto"/>
                <w:sz w:val="20"/>
                <w:szCs w:val="21"/>
              </w:rPr>
            </w:pPr>
            <w:r>
              <w:rPr>
                <w:rFonts w:hint="eastAsia" w:ascii="Times New Roman" w:hAnsi="Times New Roman" w:eastAsia="宋体" w:cs="Times New Roman"/>
                <w:b/>
                <w:bCs/>
                <w:color w:val="auto"/>
                <w:sz w:val="20"/>
                <w:szCs w:val="21"/>
              </w:rPr>
              <w:t xml:space="preserve">序号</w:t>
            </w:r>
            <w:r/>
          </w:p>
        </w:tc>
        <w:tc>
          <w:tcPr>
            <w:shd w:val="clear" w:color="auto" w:fill="ffffff" w:themeFill="background1"/>
            <w:tcBorders>
              <w:insideV w:val="none" w:color="000000" w:sz="4" w:space="0"/>
            </w:tcBorders>
            <w:tcW w:w="938" w:type="dxa"/>
            <w:textDirection w:val="lrTb"/>
            <w:noWrap w:val="false"/>
          </w:tcPr>
          <w:p>
            <w:pPr>
              <w:jc w:val="center"/>
              <w:spacing w:line="400" w:lineRule="exact"/>
              <w:rPr>
                <w:rFonts w:ascii="Times New Roman" w:hAnsi="Times New Roman" w:eastAsia="宋体" w:cs="Times New Roman"/>
                <w:b/>
                <w:bCs/>
                <w:color w:val="auto"/>
                <w:sz w:val="20"/>
                <w:szCs w:val="21"/>
              </w:rPr>
            </w:pPr>
            <w:r>
              <w:rPr>
                <w:rFonts w:hint="eastAsia" w:ascii="Times New Roman" w:hAnsi="Times New Roman" w:eastAsia="宋体" w:cs="Times New Roman"/>
                <w:b/>
                <w:bCs/>
                <w:color w:val="auto"/>
                <w:sz w:val="20"/>
                <w:szCs w:val="21"/>
              </w:rPr>
              <w:t xml:space="preserve">参数项</w:t>
            </w:r>
            <w:r/>
          </w:p>
        </w:tc>
        <w:tc>
          <w:tcPr>
            <w:shd w:val="clear" w:color="auto" w:fill="ffffff" w:themeFill="background1"/>
            <w:tcBorders>
              <w:insideV w:val="none" w:color="000000" w:sz="4" w:space="0"/>
            </w:tcBorders>
            <w:tcW w:w="1593" w:type="dxa"/>
            <w:textDirection w:val="lrTb"/>
            <w:noWrap w:val="false"/>
          </w:tcPr>
          <w:p>
            <w:pPr>
              <w:jc w:val="center"/>
              <w:spacing w:line="400" w:lineRule="exact"/>
              <w:rPr>
                <w:rFonts w:ascii="Times New Roman" w:hAnsi="Times New Roman" w:eastAsia="宋体" w:cs="Times New Roman"/>
                <w:b/>
                <w:bCs/>
                <w:color w:val="auto"/>
                <w:sz w:val="20"/>
                <w:szCs w:val="21"/>
              </w:rPr>
            </w:pPr>
            <w:r>
              <w:rPr>
                <w:rFonts w:hint="eastAsia" w:ascii="Times New Roman" w:hAnsi="Times New Roman" w:eastAsia="宋体" w:cs="Times New Roman"/>
                <w:b/>
                <w:bCs/>
                <w:color w:val="auto"/>
                <w:sz w:val="20"/>
                <w:szCs w:val="21"/>
              </w:rPr>
              <w:t xml:space="preserve">名称</w:t>
            </w:r>
            <w:r/>
          </w:p>
        </w:tc>
        <w:tc>
          <w:tcPr>
            <w:shd w:val="clear" w:color="auto" w:fill="ffffff" w:themeFill="background1"/>
            <w:tcBorders>
              <w:insideV w:val="none" w:color="000000" w:sz="4" w:space="0"/>
            </w:tcBorders>
            <w:tcW w:w="657" w:type="dxa"/>
            <w:textDirection w:val="lrTb"/>
            <w:noWrap w:val="false"/>
          </w:tcPr>
          <w:p>
            <w:pPr>
              <w:jc w:val="center"/>
              <w:spacing w:line="400" w:lineRule="exact"/>
              <w:rPr>
                <w:rFonts w:ascii="Times New Roman" w:hAnsi="Times New Roman" w:eastAsia="宋体" w:cs="Times New Roman"/>
                <w:b/>
                <w:bCs/>
                <w:color w:val="auto"/>
                <w:sz w:val="20"/>
                <w:szCs w:val="21"/>
              </w:rPr>
            </w:pPr>
            <w:r>
              <w:rPr>
                <w:rFonts w:hint="eastAsia" w:ascii="Times New Roman" w:hAnsi="Times New Roman" w:eastAsia="宋体" w:cs="Times New Roman"/>
                <w:b/>
                <w:bCs/>
                <w:color w:val="auto"/>
                <w:sz w:val="20"/>
                <w:szCs w:val="21"/>
              </w:rPr>
              <w:t xml:space="preserve">长度</w:t>
            </w:r>
            <w:r/>
          </w:p>
        </w:tc>
        <w:tc>
          <w:tcPr>
            <w:shd w:val="clear" w:color="auto" w:fill="ffffff" w:themeFill="background1"/>
            <w:tcBorders>
              <w:insideV w:val="none" w:color="000000" w:sz="4" w:space="0"/>
            </w:tcBorders>
            <w:tcW w:w="693" w:type="dxa"/>
            <w:textDirection w:val="lrTb"/>
            <w:noWrap w:val="false"/>
          </w:tcPr>
          <w:p>
            <w:pPr>
              <w:jc w:val="center"/>
              <w:spacing w:line="400" w:lineRule="exact"/>
              <w:rPr>
                <w:rFonts w:ascii="Times New Roman" w:hAnsi="Times New Roman" w:eastAsia="宋体" w:cs="Times New Roman"/>
                <w:b/>
                <w:bCs/>
                <w:color w:val="auto"/>
                <w:sz w:val="20"/>
                <w:szCs w:val="21"/>
              </w:rPr>
            </w:pPr>
            <w:r>
              <w:rPr>
                <w:rFonts w:hint="eastAsia" w:ascii="Times New Roman" w:hAnsi="Times New Roman" w:eastAsia="宋体" w:cs="Times New Roman"/>
                <w:b/>
                <w:bCs/>
                <w:color w:val="auto"/>
                <w:sz w:val="20"/>
                <w:szCs w:val="21"/>
              </w:rPr>
              <w:t xml:space="preserve">是否可空</w:t>
            </w:r>
            <w:r/>
          </w:p>
        </w:tc>
        <w:tc>
          <w:tcPr>
            <w:shd w:val="clear" w:color="auto" w:fill="ffffff" w:themeFill="background1"/>
            <w:tcBorders>
              <w:insideV w:val="none" w:color="000000" w:sz="4" w:space="0"/>
            </w:tcBorders>
            <w:tcW w:w="5063" w:type="dxa"/>
            <w:textDirection w:val="lrTb"/>
            <w:noWrap w:val="false"/>
          </w:tcPr>
          <w:p>
            <w:pPr>
              <w:jc w:val="center"/>
              <w:spacing w:line="400" w:lineRule="exact"/>
              <w:rPr>
                <w:rFonts w:ascii="Times New Roman" w:hAnsi="Times New Roman" w:eastAsia="宋体" w:cs="Times New Roman"/>
                <w:b/>
                <w:bCs/>
                <w:color w:val="auto"/>
                <w:sz w:val="20"/>
                <w:szCs w:val="21"/>
              </w:rPr>
            </w:pPr>
            <w:r>
              <w:rPr>
                <w:rFonts w:hint="eastAsia" w:ascii="Times New Roman" w:hAnsi="Times New Roman" w:eastAsia="宋体" w:cs="Times New Roman"/>
                <w:b/>
                <w:bCs/>
                <w:color w:val="auto"/>
                <w:sz w:val="20"/>
                <w:szCs w:val="21"/>
              </w:rPr>
              <w:t xml:space="preserve">备注</w:t>
            </w:r>
            <w:r/>
          </w:p>
        </w:tc>
      </w:tr>
      <w:tr>
        <w:trPr>
          <w:jc w:val="center"/>
          <w:trHeight w:val="354"/>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1</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sbbh</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设备编号</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18</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否</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该设备编号必须在系统中有备案信息</w:t>
            </w:r>
            <w:r/>
          </w:p>
        </w:tc>
      </w:tr>
      <w:tr>
        <w:trPr>
          <w:jc w:val="center"/>
          <w:trHeight w:val="285"/>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2</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fxjg</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违法发现机关</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12</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违法发现机关，如果不传，默认取设备管理部门，否则以上传为准</w:t>
            </w:r>
            <w:r/>
          </w:p>
        </w:tc>
      </w:tr>
      <w:tr>
        <w:trPr>
          <w:jc w:val="center"/>
          <w:trHeight w:val="285"/>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3</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jtfs</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交通方式</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2</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否</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2-</w:t>
            </w:r>
            <w:r>
              <w:rPr>
                <w:rFonts w:hint="eastAsia" w:ascii="Times New Roman" w:hAnsi="Times New Roman" w:eastAsia="宋体" w:cs="Times New Roman"/>
                <w:sz w:val="20"/>
                <w:szCs w:val="21"/>
              </w:rPr>
              <w:t xml:space="preserve">驾驶非机动车，</w:t>
            </w:r>
            <w:r>
              <w:rPr>
                <w:rFonts w:ascii="Times New Roman" w:hAnsi="Times New Roman" w:eastAsia="宋体" w:cs="Times New Roman"/>
                <w:sz w:val="20"/>
                <w:szCs w:val="21"/>
              </w:rPr>
              <w:t xml:space="preserve">3-</w:t>
            </w:r>
            <w:r>
              <w:rPr>
                <w:rFonts w:hint="eastAsia" w:ascii="Times New Roman" w:hAnsi="Times New Roman" w:eastAsia="宋体" w:cs="Times New Roman"/>
                <w:sz w:val="20"/>
                <w:szCs w:val="21"/>
              </w:rPr>
              <w:t xml:space="preserve">乘机动车，</w:t>
            </w:r>
            <w:r>
              <w:rPr>
                <w:rFonts w:ascii="Times New Roman" w:hAnsi="Times New Roman" w:eastAsia="宋体" w:cs="Times New Roman"/>
                <w:sz w:val="20"/>
                <w:szCs w:val="21"/>
              </w:rPr>
              <w:t xml:space="preserve">4-</w:t>
            </w:r>
            <w:r>
              <w:rPr>
                <w:rFonts w:hint="eastAsia" w:ascii="Times New Roman" w:hAnsi="Times New Roman" w:eastAsia="宋体" w:cs="Times New Roman"/>
                <w:sz w:val="20"/>
                <w:szCs w:val="21"/>
              </w:rPr>
              <w:t xml:space="preserve">乘非机动车，</w:t>
            </w:r>
            <w:r>
              <w:rPr>
                <w:rFonts w:ascii="Times New Roman" w:hAnsi="Times New Roman" w:eastAsia="宋体" w:cs="Times New Roman"/>
                <w:sz w:val="20"/>
                <w:szCs w:val="21"/>
              </w:rPr>
              <w:t xml:space="preserve">5-</w:t>
            </w:r>
            <w:r>
              <w:rPr>
                <w:rFonts w:hint="eastAsia" w:ascii="Times New Roman" w:hAnsi="Times New Roman" w:eastAsia="宋体" w:cs="Times New Roman"/>
                <w:sz w:val="20"/>
                <w:szCs w:val="21"/>
              </w:rPr>
              <w:t xml:space="preserve">步行，</w:t>
            </w:r>
            <w:r>
              <w:rPr>
                <w:rFonts w:ascii="Times New Roman" w:hAnsi="Times New Roman" w:eastAsia="宋体" w:cs="Times New Roman"/>
                <w:sz w:val="20"/>
                <w:szCs w:val="21"/>
              </w:rPr>
              <w:t xml:space="preserve">9-</w:t>
            </w:r>
            <w:r>
              <w:rPr>
                <w:rFonts w:hint="eastAsia" w:ascii="Times New Roman" w:hAnsi="Times New Roman" w:eastAsia="宋体" w:cs="Times New Roman"/>
                <w:sz w:val="20"/>
                <w:szCs w:val="21"/>
              </w:rPr>
              <w:t xml:space="preserve">其他</w:t>
            </w:r>
            <w:r/>
          </w:p>
        </w:tc>
      </w:tr>
      <w:tr>
        <w:trPr>
          <w:jc w:val="center"/>
          <w:trHeight w:val="570"/>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4</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clfl</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车辆分类</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1</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否</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1-</w:t>
            </w:r>
            <w:r>
              <w:rPr>
                <w:rFonts w:hint="eastAsia" w:ascii="Times New Roman" w:hAnsi="Times New Roman" w:eastAsia="宋体" w:cs="Times New Roman"/>
                <w:sz w:val="20"/>
                <w:szCs w:val="21"/>
              </w:rPr>
              <w:t xml:space="preserve">非机动车 </w:t>
            </w:r>
            <w:r>
              <w:rPr>
                <w:rFonts w:ascii="Times New Roman" w:hAnsi="Times New Roman" w:eastAsia="宋体" w:cs="Times New Roman"/>
                <w:sz w:val="20"/>
                <w:szCs w:val="21"/>
              </w:rPr>
              <w:t xml:space="preserve">8-</w:t>
            </w:r>
            <w:r>
              <w:rPr>
                <w:rFonts w:hint="eastAsia" w:ascii="Times New Roman" w:hAnsi="Times New Roman" w:eastAsia="宋体" w:cs="Times New Roman"/>
                <w:sz w:val="20"/>
                <w:szCs w:val="21"/>
              </w:rPr>
              <w:t xml:space="preserve">无牌无证非机动车</w:t>
            </w:r>
            <w:r/>
          </w:p>
        </w:tc>
      </w:tr>
      <w:tr>
        <w:trPr>
          <w:jc w:val="center"/>
          <w:trHeight w:val="285"/>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5</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clyt</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车辆用途</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1</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hint="eastAsia" w:ascii="等线" w:hAnsi="宋体" w:eastAsia="宋体" w:cs="Times New Roman"/>
                <w:sz w:val="21"/>
                <w:szCs w:val="21"/>
              </w:rPr>
              <w:t xml:space="preserve">1-自用2-快递3-外卖 4-共享 5-警用</w:t>
            </w:r>
            <w:r>
              <w:rPr>
                <w:rFonts w:ascii="Times New Roman" w:hAnsi="Times New Roman" w:eastAsia="宋体" w:cs="Times New Roman"/>
                <w:sz w:val="20"/>
                <w:szCs w:val="21"/>
              </w:rPr>
              <w:t xml:space="preserve">。默认为1。</w:t>
            </w:r>
            <w:r/>
          </w:p>
        </w:tc>
      </w:tr>
      <w:tr>
        <w:trPr>
          <w:jc w:val="center"/>
          <w:trHeight w:val="285"/>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6</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ssdw</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所属单位</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400</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所属单位，中文简称</w:t>
            </w:r>
            <w:r/>
          </w:p>
        </w:tc>
      </w:tr>
      <w:tr>
        <w:trPr>
          <w:jc w:val="center"/>
          <w:trHeight w:val="285"/>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7</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hpzl</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号牌种类</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2</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D1-正式号牌；D2-临时号牌；D3-营运号牌； D4-警用号牌；D</w:t>
            </w:r>
            <w:r>
              <w:rPr>
                <w:rFonts w:hint="eastAsia" w:ascii="Times New Roman" w:hAnsi="Times New Roman" w:eastAsia="宋体" w:cs="Times New Roman"/>
                <w:sz w:val="20"/>
                <w:szCs w:val="21"/>
                <w:lang w:val="en-US" w:eastAsia="zh-CN"/>
              </w:rPr>
              <w:t xml:space="preserve">5</w:t>
            </w:r>
            <w:r>
              <w:rPr>
                <w:rFonts w:ascii="Times New Roman" w:hAnsi="Times New Roman" w:eastAsia="宋体" w:cs="Times New Roman"/>
                <w:sz w:val="20"/>
                <w:szCs w:val="21"/>
              </w:rPr>
              <w:t xml:space="preserve">-治安号牌。</w:t>
            </w:r>
            <w:r/>
          </w:p>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r>
            <w:r/>
          </w:p>
          <w:p>
            <w:pPr>
              <w:jc w:val="left"/>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快递、外卖、共享等营运电动自行车如果为单独号牌样式的，应当传</w:t>
            </w:r>
            <w:r>
              <w:rPr>
                <w:rFonts w:ascii="Times New Roman" w:hAnsi="Times New Roman" w:eastAsia="宋体" w:cs="Times New Roman"/>
                <w:sz w:val="20"/>
                <w:szCs w:val="21"/>
              </w:rPr>
              <w:t xml:space="preserve">D3，如果属于正式号牌中的单独号段，应当传D1。</w:t>
            </w:r>
            <w:r/>
          </w:p>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r>
            <w:r/>
          </w:p>
          <w:p>
            <w:pPr>
              <w:jc w:val="left"/>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综合应用平台提供电动自动车发牌代码（如“苏</w:t>
            </w:r>
            <w:r>
              <w:rPr>
                <w:rFonts w:ascii="Times New Roman" w:hAnsi="Times New Roman" w:eastAsia="宋体" w:cs="Times New Roman"/>
                <w:sz w:val="20"/>
                <w:szCs w:val="21"/>
              </w:rPr>
              <w:t xml:space="preserve">B”“无锡”“江阴”）备案功能，各地市需配置启用的号牌种类及其对应的发牌代码，每个号牌种类可备案多个发牌代码。</w:t>
            </w:r>
            <w:r/>
          </w:p>
        </w:tc>
      </w:tr>
      <w:tr>
        <w:trPr>
          <w:jc w:val="center"/>
          <w:trHeight w:val="285"/>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8</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hphm</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号牌号码</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15</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号牌号码</w:t>
            </w:r>
            <w:r/>
          </w:p>
        </w:tc>
      </w:tr>
      <w:tr>
        <w:trPr>
          <w:jc w:val="center"/>
          <w:trHeight w:val="285"/>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9</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tid</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芯片</w:t>
            </w:r>
            <w:r>
              <w:rPr>
                <w:rFonts w:ascii="Times New Roman" w:hAnsi="Times New Roman" w:eastAsia="宋体" w:cs="Times New Roman"/>
                <w:sz w:val="20"/>
                <w:szCs w:val="21"/>
              </w:rPr>
              <w:t xml:space="preserve">ID</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60</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芯片</w:t>
            </w:r>
            <w:r>
              <w:rPr>
                <w:rFonts w:ascii="Times New Roman" w:hAnsi="Times New Roman" w:eastAsia="宋体" w:cs="Times New Roman"/>
                <w:sz w:val="20"/>
                <w:szCs w:val="21"/>
              </w:rPr>
              <w:t xml:space="preserve">ID</w:t>
            </w:r>
            <w:r/>
          </w:p>
        </w:tc>
      </w:tr>
      <w:tr>
        <w:trPr>
          <w:jc w:val="center"/>
          <w:trHeight w:val="285"/>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10</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kh</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卡号</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60</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卡号</w:t>
            </w:r>
            <w:r/>
          </w:p>
        </w:tc>
      </w:tr>
      <w:tr>
        <w:trPr>
          <w:jc w:val="center"/>
          <w:trHeight w:val="285"/>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11</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xzqh</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行政区划</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6</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r>
            <w:r/>
          </w:p>
        </w:tc>
      </w:tr>
      <w:tr>
        <w:trPr>
          <w:jc w:val="center"/>
          <w:trHeight w:val="285"/>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12</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fxfs</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发现方式</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1</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否</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1-</w:t>
            </w:r>
            <w:r>
              <w:rPr>
                <w:rFonts w:hint="eastAsia" w:ascii="Times New Roman" w:hAnsi="Times New Roman" w:eastAsia="宋体" w:cs="Times New Roman"/>
                <w:sz w:val="20"/>
                <w:szCs w:val="21"/>
              </w:rPr>
              <w:t xml:space="preserve">人脸识别 </w:t>
            </w:r>
            <w:r>
              <w:rPr>
                <w:rFonts w:ascii="Times New Roman" w:hAnsi="Times New Roman" w:eastAsia="宋体" w:cs="Times New Roman"/>
                <w:sz w:val="20"/>
                <w:szCs w:val="21"/>
              </w:rPr>
              <w:t xml:space="preserve">2-</w:t>
            </w:r>
            <w:r>
              <w:rPr>
                <w:rFonts w:hint="eastAsia" w:ascii="Times New Roman" w:hAnsi="Times New Roman" w:eastAsia="宋体" w:cs="Times New Roman"/>
                <w:sz w:val="20"/>
                <w:szCs w:val="21"/>
              </w:rPr>
              <w:t xml:space="preserve">号牌识别 </w:t>
            </w:r>
            <w:r>
              <w:rPr>
                <w:rFonts w:ascii="Times New Roman" w:hAnsi="Times New Roman" w:eastAsia="宋体" w:cs="Times New Roman"/>
                <w:sz w:val="20"/>
                <w:szCs w:val="21"/>
              </w:rPr>
              <w:t xml:space="preserve">3-RFID</w:t>
            </w:r>
            <w:r>
              <w:rPr>
                <w:rFonts w:hint="eastAsia" w:ascii="Times New Roman" w:hAnsi="Times New Roman" w:eastAsia="宋体" w:cs="Times New Roman"/>
                <w:sz w:val="20"/>
                <w:szCs w:val="21"/>
              </w:rPr>
              <w:t xml:space="preserve">射频识别</w:t>
            </w:r>
            <w:r/>
          </w:p>
        </w:tc>
      </w:tr>
      <w:tr>
        <w:trPr>
          <w:jc w:val="center"/>
          <w:trHeight w:val="285"/>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13</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wfdd</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违法地点</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5</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r>
            <w:r/>
          </w:p>
        </w:tc>
      </w:tr>
      <w:tr>
        <w:trPr>
          <w:jc w:val="center"/>
          <w:trHeight w:val="285"/>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14</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lddm</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路段代码</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4</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路段代码或公里数</w:t>
            </w:r>
            <w:r/>
          </w:p>
        </w:tc>
      </w:tr>
      <w:tr>
        <w:trPr>
          <w:jc w:val="center"/>
          <w:trHeight w:val="285"/>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15</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ddms</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地点米数</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3</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r>
            <w:r/>
          </w:p>
        </w:tc>
      </w:tr>
      <w:tr>
        <w:trPr>
          <w:jc w:val="center"/>
          <w:trHeight w:val="144"/>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16</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wfdz</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违法地址</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128</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中文描述</w:t>
            </w:r>
            <w:r/>
          </w:p>
        </w:tc>
      </w:tr>
      <w:tr>
        <w:trPr>
          <w:jc w:val="center"/>
          <w:trHeight w:val="285"/>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17</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wfsj</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违法时间</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不为空时，格式如：</w:t>
            </w:r>
            <w:r>
              <w:rPr>
                <w:rFonts w:ascii="Times New Roman" w:hAnsi="Times New Roman" w:eastAsia="宋体" w:cs="Times New Roman"/>
                <w:sz w:val="20"/>
                <w:szCs w:val="21"/>
              </w:rPr>
              <w:t xml:space="preserve">YYYY-MM-DD hh24:mi:ss</w:t>
            </w:r>
            <w:r/>
          </w:p>
        </w:tc>
      </w:tr>
      <w:tr>
        <w:trPr>
          <w:jc w:val="center"/>
          <w:trHeight w:val="351"/>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18</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wfxw</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违法行为</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5</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否</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r>
            <w:r/>
          </w:p>
        </w:tc>
      </w:tr>
      <w:tr>
        <w:trPr>
          <w:jc w:val="center"/>
          <w:trHeight w:val="315"/>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19</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scz</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实测值</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6</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r>
            <w:r/>
          </w:p>
        </w:tc>
      </w:tr>
      <w:tr>
        <w:trPr>
          <w:jc w:val="center"/>
          <w:trHeight w:val="289"/>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20</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bzz</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标准值</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6</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r>
            <w:r/>
          </w:p>
        </w:tc>
      </w:tr>
      <w:tr>
        <w:trPr>
          <w:jc w:val="center"/>
          <w:trHeight w:val="252"/>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21</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cqfs</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图片方式</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1</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1-</w:t>
            </w:r>
            <w:r>
              <w:rPr>
                <w:rFonts w:hint="eastAsia" w:ascii="Times New Roman" w:hAnsi="Times New Roman" w:eastAsia="宋体" w:cs="Times New Roman"/>
                <w:sz w:val="20"/>
                <w:szCs w:val="21"/>
              </w:rPr>
              <w:t xml:space="preserve">图片链接，</w:t>
            </w:r>
            <w:r>
              <w:rPr>
                <w:rFonts w:ascii="Times New Roman" w:hAnsi="Times New Roman" w:eastAsia="宋体" w:cs="Times New Roman"/>
                <w:sz w:val="20"/>
                <w:szCs w:val="21"/>
              </w:rPr>
              <w:t xml:space="preserve">2-base64</w:t>
            </w:r>
            <w:r>
              <w:rPr>
                <w:rFonts w:hint="eastAsia" w:ascii="Times New Roman" w:hAnsi="Times New Roman" w:eastAsia="宋体" w:cs="Times New Roman"/>
                <w:sz w:val="20"/>
                <w:szCs w:val="21"/>
              </w:rPr>
              <w:t xml:space="preserve">文件流方式</w:t>
            </w:r>
            <w:r/>
          </w:p>
        </w:tc>
      </w:tr>
      <w:tr>
        <w:trPr>
          <w:jc w:val="center"/>
          <w:trHeight w:val="285"/>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22</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zpstr1</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照片</w:t>
            </w:r>
            <w:r>
              <w:rPr>
                <w:rFonts w:ascii="Times New Roman" w:hAnsi="Times New Roman" w:eastAsia="宋体" w:cs="Times New Roman"/>
                <w:sz w:val="20"/>
                <w:szCs w:val="21"/>
              </w:rPr>
              <w:t xml:space="preserve">1</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否</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base64</w:t>
            </w:r>
            <w:r>
              <w:rPr>
                <w:rFonts w:hint="eastAsia" w:ascii="Times New Roman" w:hAnsi="Times New Roman" w:eastAsia="宋体" w:cs="Times New Roman"/>
                <w:sz w:val="20"/>
                <w:szCs w:val="21"/>
              </w:rPr>
              <w:t xml:space="preserve">编码或者图片链接</w:t>
            </w:r>
            <w:r/>
          </w:p>
        </w:tc>
      </w:tr>
      <w:tr>
        <w:trPr>
          <w:jc w:val="center"/>
          <w:trHeight w:val="176"/>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23</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zpstr2</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照片</w:t>
            </w:r>
            <w:r>
              <w:rPr>
                <w:rFonts w:ascii="Times New Roman" w:hAnsi="Times New Roman" w:eastAsia="宋体" w:cs="Times New Roman"/>
                <w:sz w:val="20"/>
                <w:szCs w:val="21"/>
              </w:rPr>
              <w:t xml:space="preserve">2</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base64</w:t>
            </w:r>
            <w:r>
              <w:rPr>
                <w:rFonts w:hint="eastAsia" w:ascii="Times New Roman" w:hAnsi="Times New Roman" w:eastAsia="宋体" w:cs="Times New Roman"/>
                <w:sz w:val="20"/>
                <w:szCs w:val="21"/>
              </w:rPr>
              <w:t xml:space="preserve">编码或者图片链接</w:t>
            </w:r>
            <w:r/>
          </w:p>
        </w:tc>
      </w:tr>
      <w:tr>
        <w:trPr>
          <w:jc w:val="center"/>
          <w:trHeight w:val="279"/>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24</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zpstr3</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照片</w:t>
            </w:r>
            <w:r>
              <w:rPr>
                <w:rFonts w:ascii="Times New Roman" w:hAnsi="Times New Roman" w:eastAsia="宋体" w:cs="Times New Roman"/>
                <w:sz w:val="20"/>
                <w:szCs w:val="21"/>
              </w:rPr>
              <w:t xml:space="preserve">3</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base64</w:t>
            </w:r>
            <w:r>
              <w:rPr>
                <w:rFonts w:hint="eastAsia" w:ascii="Times New Roman" w:hAnsi="Times New Roman" w:eastAsia="宋体" w:cs="Times New Roman"/>
                <w:sz w:val="20"/>
                <w:szCs w:val="21"/>
              </w:rPr>
              <w:t xml:space="preserve">编码或者图片链接</w:t>
            </w:r>
            <w:r/>
          </w:p>
        </w:tc>
      </w:tr>
      <w:tr>
        <w:trPr>
          <w:jc w:val="center"/>
          <w:trHeight w:val="241"/>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25</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tzzp</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人像特征照片</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base64</w:t>
            </w:r>
            <w:r>
              <w:rPr>
                <w:rFonts w:hint="eastAsia" w:ascii="Times New Roman" w:hAnsi="Times New Roman" w:eastAsia="宋体" w:cs="Times New Roman"/>
                <w:sz w:val="20"/>
                <w:szCs w:val="21"/>
              </w:rPr>
              <w:t xml:space="preserve">编码或者图片链接</w:t>
            </w:r>
            <w:r/>
          </w:p>
        </w:tc>
      </w:tr>
      <w:tr>
        <w:trPr>
          <w:jc w:val="center"/>
          <w:trHeight w:val="346"/>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26</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wfspdz</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违法视频地址</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512</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违法视频地址</w:t>
            </w:r>
            <w:r/>
          </w:p>
        </w:tc>
      </w:tr>
      <w:tr>
        <w:trPr>
          <w:jc w:val="center"/>
          <w:trHeight w:val="265"/>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27</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sfzmhm</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身份证号</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18</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通过人脸识别必填</w:t>
            </w:r>
            <w:r/>
          </w:p>
        </w:tc>
      </w:tr>
      <w:tr>
        <w:trPr>
          <w:jc w:val="center"/>
          <w:trHeight w:val="228"/>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28</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dsr</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当事人</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128</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r>
            <w:r/>
          </w:p>
        </w:tc>
      </w:tr>
      <w:tr>
        <w:trPr>
          <w:jc w:val="center"/>
          <w:trHeight w:val="331"/>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29</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xsd</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相似度</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8</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r>
            <w:r/>
          </w:p>
        </w:tc>
      </w:tr>
      <w:tr>
        <w:trPr>
          <w:jc w:val="center"/>
          <w:trHeight w:val="285"/>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30</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zsxzqh</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住所行政区划</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10</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r>
            <w:r/>
          </w:p>
        </w:tc>
      </w:tr>
      <w:tr>
        <w:trPr>
          <w:jc w:val="center"/>
          <w:trHeight w:val="285"/>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31</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zsxxdz</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住所详细地址</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128</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r>
            <w:r/>
          </w:p>
        </w:tc>
      </w:tr>
      <w:tr>
        <w:trPr>
          <w:jc w:val="center"/>
          <w:trHeight w:val="285"/>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32</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dh</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电话</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50</w:t>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r>
            <w:r/>
          </w:p>
        </w:tc>
      </w:tr>
      <w:tr>
        <w:trPr>
          <w:jc w:val="center"/>
          <w:trHeight w:val="285"/>
        </w:trPr>
        <w:tc>
          <w:tcPr>
            <w:shd w:val="clear" w:color="auto" w:fill="ffffff" w:themeFill="background1"/>
            <w:tcW w:w="456" w:type="dxa"/>
            <w:textDirection w:val="lrTb"/>
            <w:noWrap w:val="false"/>
          </w:tcPr>
          <w:p>
            <w:pPr>
              <w:jc w:val="center"/>
              <w:spacing w:line="400" w:lineRule="exact"/>
              <w:rPr>
                <w:rFonts w:ascii="Times New Roman" w:hAnsi="Times New Roman" w:eastAsia="宋体" w:cs="Times New Roman"/>
                <w:b/>
                <w:bCs/>
                <w:sz w:val="20"/>
                <w:szCs w:val="21"/>
              </w:rPr>
            </w:pPr>
            <w:r>
              <w:rPr>
                <w:rFonts w:ascii="Times New Roman" w:hAnsi="Times New Roman" w:eastAsia="宋体" w:cs="Times New Roman"/>
                <w:b/>
                <w:bCs/>
                <w:sz w:val="20"/>
                <w:szCs w:val="21"/>
              </w:rPr>
              <w:t xml:space="preserve">33</w:t>
            </w:r>
            <w:r/>
          </w:p>
        </w:tc>
        <w:tc>
          <w:tcPr>
            <w:shd w:val="clear" w:color="auto" w:fill="ffffff" w:themeFill="background1"/>
            <w:tcW w:w="938"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zpstr</w:t>
            </w:r>
            <w:r/>
          </w:p>
        </w:tc>
        <w:tc>
          <w:tcPr>
            <w:shd w:val="clear" w:color="auto" w:fill="ffffff" w:themeFill="background1"/>
            <w:tcW w:w="15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照片</w:t>
            </w:r>
            <w:r/>
          </w:p>
        </w:tc>
        <w:tc>
          <w:tcPr>
            <w:shd w:val="clear" w:color="auto" w:fill="ffffff" w:themeFill="background1"/>
            <w:tcW w:w="657" w:type="dxa"/>
            <w:textDirection w:val="lrTb"/>
            <w:noWrap w:val="false"/>
          </w:tcPr>
          <w:p>
            <w:pPr>
              <w:jc w:val="center"/>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r>
            <w:r/>
          </w:p>
        </w:tc>
        <w:tc>
          <w:tcPr>
            <w:shd w:val="clear" w:color="auto" w:fill="ffffff" w:themeFill="background1"/>
            <w:tcW w:w="693" w:type="dxa"/>
            <w:textDirection w:val="lrTb"/>
            <w:noWrap w:val="false"/>
          </w:tcPr>
          <w:p>
            <w:pPr>
              <w:jc w:val="center"/>
              <w:spacing w:line="400" w:lineRule="exact"/>
              <w:rPr>
                <w:rFonts w:ascii="Times New Roman" w:hAnsi="Times New Roman" w:eastAsia="宋体" w:cs="Times New Roman"/>
                <w:sz w:val="20"/>
                <w:szCs w:val="21"/>
              </w:rPr>
            </w:pPr>
            <w:r>
              <w:rPr>
                <w:rFonts w:hint="eastAsia" w:ascii="Times New Roman" w:hAnsi="Times New Roman" w:eastAsia="宋体" w:cs="Times New Roman"/>
                <w:sz w:val="20"/>
                <w:szCs w:val="21"/>
              </w:rPr>
              <w:t xml:space="preserve">是</w:t>
            </w:r>
            <w:r/>
          </w:p>
        </w:tc>
        <w:tc>
          <w:tcPr>
            <w:shd w:val="clear" w:color="auto" w:fill="ffffff" w:themeFill="background1"/>
            <w:tcW w:w="5063" w:type="dxa"/>
            <w:textDirection w:val="lrTb"/>
            <w:noWrap w:val="false"/>
          </w:tcPr>
          <w:p>
            <w:pPr>
              <w:jc w:val="left"/>
              <w:spacing w:line="400" w:lineRule="exact"/>
              <w:rPr>
                <w:rFonts w:ascii="Times New Roman" w:hAnsi="Times New Roman" w:eastAsia="宋体" w:cs="Times New Roman"/>
                <w:sz w:val="20"/>
                <w:szCs w:val="21"/>
              </w:rPr>
            </w:pPr>
            <w:r>
              <w:rPr>
                <w:rFonts w:ascii="Times New Roman" w:hAnsi="Times New Roman" w:eastAsia="宋体" w:cs="Times New Roman"/>
                <w:sz w:val="20"/>
                <w:szCs w:val="21"/>
              </w:rPr>
              <w:t xml:space="preserve">base64</w:t>
            </w:r>
            <w:r>
              <w:rPr>
                <w:rFonts w:hint="eastAsia" w:ascii="Times New Roman" w:hAnsi="Times New Roman" w:eastAsia="宋体" w:cs="Times New Roman"/>
                <w:sz w:val="20"/>
                <w:szCs w:val="21"/>
              </w:rPr>
              <w:t xml:space="preserve">编码或者图片链接，当事人登记图片</w:t>
            </w:r>
            <w:r/>
          </w:p>
        </w:tc>
      </w:tr>
    </w:tbl>
    <w:p>
      <w:pPr>
        <w:ind w:firstLine="504"/>
        <w:spacing w:line="360" w:lineRule="auto"/>
        <w:rPr>
          <w:rFonts w:hint="eastAsia" w:ascii="宋体" w:hAnsi="宋体" w:eastAsia="宋体" w:cs="宋体"/>
          <w:b/>
          <w:bCs/>
        </w:rPr>
      </w:pPr>
      <w:r>
        <w:rPr>
          <w:rFonts w:hint="eastAsia" w:ascii="Calibri" w:hAnsi="Calibri" w:eastAsia="宋体" w:cs="Times New Roman"/>
          <w:spacing w:val="6"/>
          <w:sz w:val="24"/>
        </w:rPr>
        <w:t xml:space="preserve">返回结果XML文档：code（标记，0、失败；1成功）、message（描述信息）</w:t>
      </w:r>
      <w:r/>
    </w:p>
    <w:p>
      <w:pPr>
        <w:spacing w:line="360" w:lineRule="auto"/>
        <w:rPr>
          <w:rFonts w:hint="eastAsia" w:ascii="宋体" w:hAnsi="宋体" w:eastAsia="宋体" w:cs="宋体"/>
          <w:b/>
          <w:bCs/>
          <w:sz w:val="24"/>
          <w:lang w:eastAsia="zh-CN"/>
        </w:rPr>
      </w:pPr>
      <w:r>
        <w:rPr>
          <w:rFonts w:hint="eastAsia" w:ascii="宋体" w:hAnsi="宋体" w:eastAsia="宋体" w:cs="宋体"/>
          <w:b/>
          <w:bCs/>
          <w:sz w:val="24"/>
          <w:lang w:eastAsia="zh-CN"/>
        </w:rPr>
        <w:t xml:space="preserve">2.1、</w:t>
      </w:r>
      <w:r>
        <w:rPr>
          <w:rFonts w:hint="eastAsia" w:ascii="宋体" w:hAnsi="宋体" w:eastAsia="宋体" w:cs="宋体"/>
          <w:b/>
          <w:bCs/>
          <w:sz w:val="24"/>
        </w:rPr>
        <w:t xml:space="preserve">900万电警抓拍单元</w:t>
      </w:r>
      <w:r>
        <w:rPr>
          <w:rFonts w:hint="eastAsia" w:ascii="宋体" w:hAnsi="宋体" w:eastAsia="宋体" w:cs="宋体"/>
          <w:b/>
          <w:bCs/>
          <w:sz w:val="24"/>
          <w:lang w:eastAsia="zh-CN"/>
        </w:rPr>
        <w:t xml:space="preserve">（核心产品）</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（1）包含高清一体化嵌入式摄像机、高清镜头、室外防护罩、相机内置网络信号防雷器、电源适配器等；</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（2）</w:t>
      </w:r>
      <w:r>
        <w:rPr>
          <w:rFonts w:hint="eastAsia" w:ascii="宋体" w:hAnsi="宋体" w:eastAsia="宋体" w:cs="宋体"/>
          <w:b/>
          <w:sz w:val="24"/>
          <w:lang w:eastAsia="zh-CN"/>
        </w:rPr>
        <w:t xml:space="preserve">★</w:t>
      </w:r>
      <w:r>
        <w:rPr>
          <w:rFonts w:hint="eastAsia" w:ascii="宋体" w:hAnsi="宋体" w:eastAsia="宋体" w:cs="宋体"/>
          <w:sz w:val="24"/>
          <w:lang w:eastAsia="zh-CN"/>
        </w:rPr>
        <w:t xml:space="preserve">图像传感器：1英寸CMOS（GMOS）传感器；</w:t>
      </w:r>
      <w:r/>
    </w:p>
    <w:p>
      <w:pPr>
        <w:spacing w:line="360" w:lineRule="auto"/>
        <w:widowControl w:val="off"/>
        <w:rPr>
          <w:rFonts w:ascii="宋体" w:hAnsi="宋体" w:eastAsia="宋体" w:cs="宋体"/>
          <w:sz w:val="24"/>
          <w:lang w:eastAsia="zh-CN"/>
        </w:rPr>
      </w:pPr>
      <w:r>
        <w:rPr>
          <w:rFonts w:hint="eastAsia" w:ascii="宋体" w:hAnsi="宋体" w:eastAsia="宋体" w:cs="宋体"/>
          <w:b/>
          <w:sz w:val="24"/>
          <w:highlight w:val="none"/>
          <w:lang w:val="en-US" w:eastAsia="zh-CN"/>
        </w:rPr>
        <w:t xml:space="preserve">（</w:t>
      </w:r>
      <w:r>
        <w:rPr>
          <w:rFonts w:hint="eastAsia" w:ascii="宋体" w:hAnsi="宋体" w:cs="宋体"/>
          <w:b/>
          <w:sz w:val="24"/>
          <w:highlight w:val="none"/>
          <w:lang w:val="en-US" w:eastAsia="zh-CN"/>
        </w:rPr>
        <w:t xml:space="preserve">提供国家认可的检测机构出具的检测报告扫描件</w:t>
      </w:r>
      <w:r>
        <w:rPr>
          <w:rFonts w:hint="eastAsia" w:ascii="宋体" w:hAnsi="宋体" w:eastAsia="宋体" w:cs="宋体"/>
          <w:b/>
          <w:sz w:val="24"/>
          <w:lang w:val="en-US" w:eastAsia="zh-CN"/>
        </w:rPr>
        <w:t xml:space="preserve">加盖公章上传，提供的检测报告内容模糊不清导致无法辨别的，按未提供处理）</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（3）支持主码流同时输出不少于30路4096×2160、2Mbps的25帧/s图像以提供客户端浏览；</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（4）最大图像尺寸：≥4096×2160像素；字符叠加时最大可支持4096×2800；</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（5）视频帧率：在1～25fps可调；</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（6）护罩玻璃透光率≥99%，外壳防护等级应不低于IP66；</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（7）视频压缩支持H.265、H.264、M-JPEG；</w:t>
      </w:r>
      <w:r/>
    </w:p>
    <w:p>
      <w:pPr>
        <w:spacing w:line="360" w:lineRule="auto"/>
        <w:widowControl w:val="off"/>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t xml:space="preserve">）</w:t>
      </w:r>
      <w:r>
        <w:rPr>
          <w:rFonts w:ascii="宋体" w:hAnsi="宋体" w:eastAsia="宋体" w:cs="宋体"/>
          <w:spacing w:val="-1"/>
          <w:sz w:val="24"/>
          <w:szCs w:val="24"/>
          <w:highlight w:val="none"/>
        </w:rPr>
        <w:t xml:space="preserve">▲</w:t>
      </w:r>
      <w:r>
        <w:rPr>
          <w:rFonts w:ascii="宋体" w:hAnsi="宋体" w:eastAsia="宋体" w:cs="宋体"/>
          <w:spacing w:val="-80"/>
          <w:sz w:val="24"/>
          <w:szCs w:val="24"/>
          <w:highlight w:val="none"/>
        </w:rPr>
        <w:t xml:space="preserve"> </w:t>
      </w:r>
      <w:r>
        <w:rPr>
          <w:rFonts w:hint="eastAsia" w:ascii="宋体" w:hAnsi="宋体" w:eastAsia="宋体" w:cs="宋体"/>
          <w:sz w:val="24"/>
          <w:highlight w:val="none"/>
          <w:lang w:eastAsia="zh-CN"/>
        </w:rPr>
        <w:t xml:space="preserve">支持对不按导向</w:t>
      </w:r>
      <w:r>
        <w:rPr>
          <w:rFonts w:hint="eastAsia" w:ascii="宋体" w:hAnsi="宋体" w:eastAsia="宋体" w:cs="宋体"/>
          <w:sz w:val="24"/>
          <w:highlight w:val="none"/>
          <w:lang w:val="en-US" w:eastAsia="zh-CN"/>
        </w:rPr>
        <w:t xml:space="preserve">车道行驶</w:t>
      </w:r>
      <w:r>
        <w:rPr>
          <w:rFonts w:hint="eastAsia" w:ascii="宋体" w:hAnsi="宋体" w:eastAsia="宋体" w:cs="宋体"/>
          <w:sz w:val="24"/>
          <w:highlight w:val="none"/>
          <w:lang w:eastAsia="zh-CN"/>
        </w:rPr>
        <w:t xml:space="preserve">抓拍，白天和晚上的捕获率均≥9</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t xml:space="preserve">%，白天和晚上的准确率均≥9</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t xml:space="preserve">%；</w:t>
      </w:r>
      <w:r>
        <w:rPr>
          <w:rFonts w:hint="eastAsia" w:ascii="宋体" w:hAnsi="宋体" w:eastAsia="宋体" w:cs="宋体"/>
          <w:b/>
          <w:sz w:val="24"/>
          <w:highlight w:val="none"/>
          <w:lang w:val="en-US" w:eastAsia="zh-CN"/>
        </w:rPr>
        <w:t xml:space="preserve">（</w:t>
      </w:r>
      <w:r>
        <w:rPr>
          <w:rFonts w:hint="eastAsia" w:ascii="宋体" w:hAnsi="宋体" w:cs="宋体"/>
          <w:b/>
          <w:sz w:val="24"/>
          <w:highlight w:val="none"/>
          <w:lang w:val="en-US" w:eastAsia="zh-CN"/>
        </w:rPr>
        <w:t xml:space="preserve">提供国家认可的检测机构出具的检测报告扫描件</w:t>
      </w:r>
      <w:r>
        <w:rPr>
          <w:rFonts w:hint="eastAsia" w:ascii="宋体" w:hAnsi="宋体" w:eastAsia="宋体" w:cs="宋体"/>
          <w:b/>
          <w:sz w:val="24"/>
          <w:highlight w:val="none"/>
          <w:lang w:val="en-US" w:eastAsia="zh-CN"/>
        </w:rPr>
        <w:t xml:space="preserve">加盖公章上传，提供的检测报告内容模糊不清导致无法辨别的，按未提供处理）</w:t>
      </w:r>
      <w:r/>
    </w:p>
    <w:p>
      <w:pPr>
        <w:spacing w:line="360" w:lineRule="auto"/>
        <w:widowControl w:val="off"/>
        <w:rPr>
          <w:rFonts w:hint="eastAsia" w:ascii="宋体" w:hAnsi="宋体" w:eastAsia="宋体" w:cs="宋体"/>
          <w:spacing w:val="-2"/>
          <w:sz w:val="24"/>
          <w:szCs w:val="24"/>
          <w:highlight w:val="none"/>
          <w:lang w:val="en-US" w:eastAsia="zh-CN"/>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lang w:eastAsia="zh-CN"/>
        </w:rPr>
        <w:t xml:space="preserve">）</w:t>
      </w:r>
      <w:r>
        <w:rPr>
          <w:rFonts w:ascii="宋体" w:hAnsi="宋体" w:eastAsia="宋体" w:cs="宋体"/>
          <w:spacing w:val="-1"/>
          <w:sz w:val="24"/>
          <w:szCs w:val="24"/>
          <w:highlight w:val="none"/>
        </w:rPr>
        <w:t xml:space="preserve">▲</w:t>
      </w:r>
      <w:r>
        <w:rPr>
          <w:rFonts w:ascii="宋体" w:hAnsi="宋体" w:eastAsia="宋体" w:cs="宋体"/>
          <w:spacing w:val="-80"/>
          <w:sz w:val="24"/>
          <w:szCs w:val="24"/>
          <w:highlight w:val="none"/>
        </w:rPr>
        <w:t xml:space="preserve"> </w:t>
      </w:r>
      <w:r>
        <w:rPr>
          <w:rFonts w:hint="eastAsia" w:ascii="宋体" w:hAnsi="宋体" w:eastAsia="宋体" w:cs="宋体"/>
          <w:sz w:val="24"/>
          <w:highlight w:val="none"/>
          <w:lang w:eastAsia="zh-CN"/>
        </w:rPr>
        <w:t xml:space="preserve">支持闯红灯抓拍功能，白天和晚上闯红灯的捕获率均≥9</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t xml:space="preserve">%；</w:t>
      </w:r>
      <w:r>
        <w:rPr>
          <w:rFonts w:hint="eastAsia" w:ascii="宋体" w:hAnsi="宋体" w:eastAsia="宋体" w:cs="宋体"/>
          <w:b/>
          <w:sz w:val="24"/>
          <w:highlight w:val="none"/>
          <w:lang w:val="en-US" w:eastAsia="zh-CN"/>
        </w:rPr>
        <w:t xml:space="preserve">（</w:t>
      </w:r>
      <w:r>
        <w:rPr>
          <w:rFonts w:hint="eastAsia" w:ascii="宋体" w:hAnsi="宋体" w:cs="宋体"/>
          <w:b/>
          <w:sz w:val="24"/>
          <w:highlight w:val="none"/>
          <w:lang w:val="en-US" w:eastAsia="zh-CN"/>
        </w:rPr>
        <w:t xml:space="preserve">提供国家认可的检测机构出具的检测报告扫描件</w:t>
      </w:r>
      <w:r>
        <w:rPr>
          <w:rFonts w:hint="eastAsia" w:ascii="宋体" w:hAnsi="宋体" w:eastAsia="宋体" w:cs="宋体"/>
          <w:b/>
          <w:sz w:val="24"/>
          <w:highlight w:val="none"/>
          <w:lang w:val="en-US" w:eastAsia="zh-CN"/>
        </w:rPr>
        <w:t xml:space="preserve">加盖公章上传，提供的检测报告内容模糊不清导致无法辨别的，按未提供处理）</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）支持车距违章抓拍功能，当两车距离小于50米，则抓拍后车为违章；</w:t>
      </w:r>
      <w:r/>
    </w:p>
    <w:p>
      <w:pPr>
        <w:spacing w:line="360" w:lineRule="auto"/>
        <w:rPr>
          <w:rFonts w:ascii="宋体" w:hAnsi="宋体" w:eastAsia="宋体" w:cs="宋体"/>
          <w:b/>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）支持禁左、禁右、禁止掉头违章抓拍；支持禁货、禁拖拉机、禁农用车、禁大客车、禁拖/挂车通行等违章抓拍；</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）支持压线（压实线、压单黄线、压双黄线）、逆行、占用应急车道、黄网格违停、加塞等违章检测；</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）可显示设定区域内各像素点的RGB分量值；</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4</w:t>
      </w:r>
      <w:r>
        <w:rPr>
          <w:rFonts w:hint="eastAsia" w:ascii="宋体" w:hAnsi="宋体" w:eastAsia="宋体" w:cs="宋体"/>
          <w:sz w:val="24"/>
          <w:lang w:eastAsia="zh-CN"/>
        </w:rPr>
        <w:t xml:space="preserve">）设备可识别351种机动车品牌标志，白天识别准确率≥99%，夜晚识别准确率≥99%，</w:t>
      </w:r>
      <w:r/>
    </w:p>
    <w:p>
      <w:pPr>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lang w:eastAsia="zh-CN"/>
        </w:rPr>
        <w:t xml:space="preserve">）支持车牌识别功能，白天和晚上的识别准确率均≥99%；</w:t>
      </w:r>
      <w:r/>
    </w:p>
    <w:p>
      <w:pPr>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lang w:eastAsia="zh-CN"/>
        </w:rPr>
        <w:t xml:space="preserve">）支持异常车牌检测功能，可对故意遮挡及污损车牌进行判断和识别；</w:t>
      </w:r>
      <w:r/>
    </w:p>
    <w:p>
      <w:pPr>
        <w:spacing w:line="360" w:lineRule="auto"/>
        <w:widowControl w:val="off"/>
        <w:rPr>
          <w:rFonts w:ascii="宋体" w:hAnsi="宋体" w:eastAsia="宋体" w:cs="宋体"/>
          <w:spacing w:val="-2"/>
          <w:sz w:val="24"/>
          <w:szCs w:val="24"/>
        </w:rPr>
      </w:pPr>
      <w:r>
        <w:rPr>
          <w:rFonts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17</w:t>
      </w:r>
      <w:r>
        <w:rPr>
          <w:rFonts w:ascii="宋体" w:hAnsi="宋体" w:eastAsia="宋体" w:cs="宋体"/>
          <w:spacing w:val="-2"/>
          <w:sz w:val="24"/>
          <w:szCs w:val="24"/>
        </w:rPr>
        <w:t xml:space="preserve">）支持摩托车闯红灯、不按导向、闯禁令等违法行为抓拍；</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18</w:t>
      </w:r>
      <w:r>
        <w:rPr>
          <w:rFonts w:ascii="宋体" w:hAnsi="宋体" w:eastAsia="宋体" w:cs="宋体"/>
          <w:spacing w:val="-2"/>
          <w:sz w:val="24"/>
          <w:szCs w:val="24"/>
        </w:rPr>
        <w:t xml:space="preserve">）</w:t>
      </w:r>
      <w:r>
        <w:rPr>
          <w:rFonts w:ascii="宋体" w:hAnsi="宋体" w:eastAsia="宋体" w:cs="宋体"/>
          <w:spacing w:val="-2"/>
          <w:sz w:val="24"/>
          <w:szCs w:val="24"/>
          <w:lang w:val="en-US" w:eastAsia="en-US"/>
        </w:rPr>
        <w:t xml:space="preserve">支持检测并跟踪指定区域内不少于200个目标, 目标包括机动车、非机动车以及行人等；未叠加字符信息抓图分辨率：4096像素×2160像素；叠加字符信息抓图分辨率：4096像</w:t>
      </w:r>
      <w:r>
        <w:rPr>
          <w:rFonts w:hint="eastAsia" w:ascii="宋体" w:hAnsi="宋体" w:eastAsia="宋体" w:cs="宋体"/>
          <w:spacing w:val="-2"/>
          <w:sz w:val="24"/>
          <w:szCs w:val="24"/>
          <w:lang w:val="en-US" w:eastAsia="zh-CN"/>
        </w:rPr>
        <w:t xml:space="preserve">素</w:t>
      </w:r>
      <w:r>
        <w:rPr>
          <w:rFonts w:ascii="宋体" w:hAnsi="宋体" w:eastAsia="宋体" w:cs="宋体"/>
          <w:spacing w:val="-2"/>
          <w:sz w:val="24"/>
          <w:szCs w:val="24"/>
          <w:lang w:val="en-US" w:eastAsia="en-US"/>
        </w:rPr>
        <w:t xml:space="preserve">×4312像素；支持根据现场违章抓拍需求通过web界面设置事件优先度，事件优先度1~16可设，设置后可按事件优先度进行违章抓拍及图片存储；</w:t>
      </w:r>
      <w:r/>
    </w:p>
    <w:p>
      <w:pPr>
        <w:spacing w:line="360" w:lineRule="auto"/>
        <w:widowControl w:val="off"/>
        <w:rPr>
          <w:rFonts w:hint="eastAsia" w:ascii="宋体" w:hAnsi="宋体" w:eastAsia="宋体" w:cs="宋体"/>
          <w:spacing w:val="-2"/>
          <w:sz w:val="24"/>
          <w:szCs w:val="24"/>
          <w:lang w:val="en-US" w:eastAsia="zh-CN"/>
        </w:rPr>
      </w:pPr>
      <w:r>
        <w:rPr>
          <w:rFonts w:ascii="宋体" w:hAnsi="宋体" w:eastAsia="宋体" w:cs="宋体"/>
          <w:spacing w:val="-2"/>
          <w:sz w:val="24"/>
          <w:szCs w:val="24"/>
          <w:lang w:val="en-US" w:eastAsia="en-US"/>
        </w:rPr>
        <w:t xml:space="preserve">（</w:t>
      </w:r>
      <w:r>
        <w:rPr>
          <w:rFonts w:hint="eastAsia" w:ascii="宋体" w:hAnsi="宋体" w:eastAsia="宋体" w:cs="宋体"/>
          <w:spacing w:val="-2"/>
          <w:sz w:val="24"/>
          <w:szCs w:val="24"/>
          <w:lang w:val="en-US" w:eastAsia="zh-CN"/>
        </w:rPr>
        <w:t xml:space="preserve">19</w:t>
      </w:r>
      <w:r>
        <w:rPr>
          <w:rFonts w:ascii="宋体" w:hAnsi="宋体" w:eastAsia="宋体" w:cs="宋体"/>
          <w:spacing w:val="-2"/>
          <w:sz w:val="24"/>
          <w:szCs w:val="24"/>
          <w:lang w:val="en-US" w:eastAsia="en-US"/>
        </w:rPr>
        <w:t xml:space="preserve">）感兴趣区域增强编码功能检查：支持24块感兴趣区域(ROI)增强编码功能，ROI区域压缩比0～100可设置；具有抓拍黄牌车、蓝牌车、绿牌车、渐变绿牌车、黑牌车、白牌车、黄绿双拼牌车和不启用抓拍八个设置选项。可对蓝色、黄色、绿色、渐变绿色、黑色、白色、黄绿双拼色以及其他不同颜色车牌的车辆进行选择抓拍</w:t>
      </w:r>
      <w:r>
        <w:rPr>
          <w:rFonts w:hint="eastAsia" w:ascii="宋体" w:hAnsi="宋体" w:eastAsia="宋体" w:cs="宋体"/>
          <w:spacing w:val="-2"/>
          <w:sz w:val="24"/>
          <w:szCs w:val="24"/>
          <w:lang w:val="en-US" w:eastAsia="zh-CN"/>
        </w:rPr>
        <w:t xml:space="preserve">；</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1"/>
          <w:sz w:val="24"/>
          <w:szCs w:val="24"/>
        </w:rPr>
        <w:t xml:space="preserve">（</w:t>
      </w:r>
      <w:r>
        <w:rPr>
          <w:rFonts w:hint="eastAsia" w:ascii="宋体" w:hAnsi="宋体" w:eastAsia="宋体" w:cs="宋体"/>
          <w:spacing w:val="-1"/>
          <w:sz w:val="24"/>
          <w:szCs w:val="24"/>
          <w:lang w:val="en-US" w:eastAsia="zh-CN"/>
        </w:rPr>
        <w:t xml:space="preserve">20</w:t>
      </w:r>
      <w:r>
        <w:rPr>
          <w:rFonts w:ascii="宋体" w:hAnsi="宋体" w:eastAsia="宋体" w:cs="宋体"/>
          <w:spacing w:val="-1"/>
          <w:sz w:val="24"/>
          <w:szCs w:val="24"/>
        </w:rPr>
        <w:t xml:space="preserve">）</w:t>
      </w:r>
      <w:r>
        <w:rPr>
          <w:rFonts w:ascii="宋体" w:hAnsi="宋体" w:eastAsia="宋体" w:cs="宋体"/>
          <w:sz w:val="24"/>
          <w:szCs w:val="24"/>
        </w:rPr>
        <w:t xml:space="preserve">支持通过视频触发进行车辆抓拍；支持车牌识别、车身颜色识别</w:t>
      </w:r>
      <w:r>
        <w:rPr>
          <w:rFonts w:ascii="宋体" w:hAnsi="宋体" w:eastAsia="宋体" w:cs="宋体"/>
          <w:spacing w:val="-2"/>
          <w:sz w:val="24"/>
          <w:szCs w:val="24"/>
          <w:lang w:val="en-US" w:eastAsia="en-US"/>
        </w:rPr>
        <w:t xml:space="preserve">、车型识别，通行车辆信息捕获和违章检测功能。</w:t>
      </w:r>
      <w:r/>
    </w:p>
    <w:p>
      <w:pPr>
        <w:spacing w:line="360" w:lineRule="auto"/>
        <w:widowControl w:val="off"/>
        <w:rPr>
          <w:rFonts w:ascii="宋体" w:hAnsi="宋体" w:eastAsia="宋体" w:cs="宋体"/>
          <w:sz w:val="24"/>
          <w:szCs w:val="24"/>
          <w:lang w:val="en-US" w:eastAsia="en-US"/>
        </w:rPr>
      </w:pPr>
      <w:r>
        <w:rPr>
          <w:rFonts w:ascii="宋体" w:hAnsi="宋体" w:eastAsia="宋体" w:cs="宋体"/>
          <w:spacing w:val="-2"/>
          <w:sz w:val="24"/>
          <w:szCs w:val="24"/>
          <w:lang w:val="en-US" w:eastAsia="en-US"/>
        </w:rPr>
        <w:t xml:space="preserve">（</w:t>
      </w:r>
      <w:r>
        <w:rPr>
          <w:rFonts w:hint="eastAsia" w:ascii="宋体" w:hAnsi="宋体" w:eastAsia="宋体" w:cs="宋体"/>
          <w:sz w:val="24"/>
          <w:szCs w:val="24"/>
          <w:lang w:val="en-US" w:eastAsia="zh-CN"/>
        </w:rPr>
        <w:t xml:space="preserve">21</w:t>
      </w:r>
      <w:r>
        <w:rPr>
          <w:rFonts w:ascii="宋体" w:hAnsi="宋体" w:eastAsia="宋体" w:cs="宋体"/>
          <w:sz w:val="24"/>
          <w:szCs w:val="24"/>
          <w:lang w:val="en-US" w:eastAsia="en-US"/>
        </w:rPr>
        <w:t xml:space="preserve">)设备可识别通过监视画面中的机动车车牌号码，包括大型汽车号牌、挂车号牌、大型新能源汽车号牌、小型汽车号牌、小型新能源汽车号牌、武警车牌、军牌、港澳入出境车号牌、使馆汽车号牌、教练汽车号牌、民航车牌。</w:t>
      </w:r>
      <w:r/>
    </w:p>
    <w:p>
      <w:pPr>
        <w:spacing w:line="360" w:lineRule="auto"/>
        <w:rPr>
          <w:rFonts w:ascii="宋体" w:hAnsi="宋体" w:eastAsia="宋体" w:cs="宋体"/>
          <w:sz w:val="24"/>
          <w:lang w:eastAsia="zh-CN"/>
        </w:rPr>
      </w:pPr>
      <w:r>
        <w:rPr>
          <w:rFonts w:hint="eastAsia" w:ascii="宋体" w:hAnsi="宋体" w:eastAsia="宋体" w:cs="宋体"/>
          <w:b/>
          <w:bCs/>
          <w:sz w:val="24"/>
          <w:lang w:eastAsia="zh-CN"/>
        </w:rPr>
        <w:t xml:space="preserve">2.2、900万高清生态环保卡口抓拍单元</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（1）包含高清一体化嵌入式摄像机、高清镜头、室外防护罩、电源适配器等；</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（2）靶面尺寸≥1英寸；</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（3)支持人脸区域自动曝光，可根据人脸区域光照变化自动调节人脸区域曝光参数；支持通过浏览器设置人脸自动曝光参数亮度、最短持续时间和人脸过滤时间；</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(4)支持主码流同时输出不少于30路4096×2160、2Mbps的25帧/s图像以供客户端浏览；最大图像尺寸：≥4096×2160像素；字符叠加时最大可支持4096×2800，视频帧率在1～25fps可调；</w:t>
      </w:r>
      <w:r/>
    </w:p>
    <w:p>
      <w:pPr>
        <w:spacing w:line="360" w:lineRule="auto"/>
        <w:widowControl w:val="off"/>
        <w:rPr>
          <w:rFonts w:hint="eastAsia" w:ascii="宋体" w:hAnsi="宋体" w:eastAsia="宋体" w:cs="宋体"/>
          <w:spacing w:val="-2"/>
          <w:sz w:val="24"/>
          <w:szCs w:val="24"/>
          <w:highlight w:val="none"/>
          <w:lang w:val="en-US" w:eastAsia="zh-CN"/>
        </w:rPr>
      </w:pPr>
      <w:r>
        <w:rPr>
          <w:rFonts w:ascii="宋体" w:hAnsi="宋体" w:eastAsia="宋体" w:cs="宋体"/>
          <w:spacing w:val="-2"/>
          <w:sz w:val="24"/>
          <w:szCs w:val="24"/>
          <w:highlight w:val="none"/>
          <w:lang w:val="en-US" w:eastAsia="en-US"/>
        </w:rPr>
        <w:t xml:space="preserve">(5)▲支持车辆抓拍捕获功能，白天和晚上的捕获率均≥95%；</w:t>
      </w:r>
      <w:r>
        <w:rPr>
          <w:rFonts w:hint="eastAsia" w:ascii="宋体" w:hAnsi="宋体" w:eastAsia="宋体" w:cs="宋体"/>
          <w:b/>
          <w:sz w:val="24"/>
          <w:highlight w:val="none"/>
          <w:lang w:val="en-US" w:eastAsia="zh-CN"/>
        </w:rPr>
        <w:t xml:space="preserve">（</w:t>
      </w:r>
      <w:r>
        <w:rPr>
          <w:rFonts w:hint="eastAsia" w:ascii="宋体" w:hAnsi="宋体" w:cs="宋体"/>
          <w:b/>
          <w:sz w:val="24"/>
          <w:highlight w:val="none"/>
          <w:lang w:val="en-US" w:eastAsia="zh-CN"/>
        </w:rPr>
        <w:t xml:space="preserve">提供国家认可的检测机构出具的检测报告扫描件</w:t>
      </w:r>
      <w:r>
        <w:rPr>
          <w:rFonts w:hint="eastAsia" w:ascii="宋体" w:hAnsi="宋体" w:eastAsia="宋体" w:cs="宋体"/>
          <w:b/>
          <w:sz w:val="24"/>
          <w:highlight w:val="none"/>
          <w:lang w:val="en-US" w:eastAsia="zh-CN"/>
        </w:rPr>
        <w:t xml:space="preserve">加盖公章上传，提供的检测报告内容模糊不清导致无法辨别的，按未提供处理）</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w:t>
      </w:r>
      <w:r>
        <w:rPr>
          <w:rFonts w:hint="eastAsia" w:ascii="宋体" w:hAnsi="宋体" w:eastAsia="宋体" w:cs="宋体"/>
          <w:spacing w:val="-2"/>
          <w:sz w:val="24"/>
          <w:szCs w:val="24"/>
          <w:lang w:val="en-US" w:eastAsia="zh-CN"/>
        </w:rPr>
        <w:t xml:space="preserve">6</w:t>
      </w:r>
      <w:r>
        <w:rPr>
          <w:rFonts w:ascii="宋体" w:hAnsi="宋体" w:eastAsia="宋体" w:cs="宋体"/>
          <w:spacing w:val="-2"/>
          <w:sz w:val="24"/>
          <w:szCs w:val="24"/>
          <w:lang w:val="en-US" w:eastAsia="en-US"/>
        </w:rPr>
        <w:t xml:space="preserve">）支持根据现场违章抓拍需求通过web界面设置事件优先度，事件优先度1～17可设，设置后可按事件优先度进行违章抓拍及图片存储；</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w:t>
      </w:r>
      <w:r>
        <w:rPr>
          <w:rFonts w:hint="eastAsia" w:ascii="宋体" w:hAnsi="宋体" w:eastAsia="宋体" w:cs="宋体"/>
          <w:spacing w:val="-2"/>
          <w:sz w:val="24"/>
          <w:szCs w:val="24"/>
          <w:lang w:val="en-US" w:eastAsia="zh-CN"/>
        </w:rPr>
        <w:t xml:space="preserve">7</w:t>
      </w:r>
      <w:r>
        <w:rPr>
          <w:rFonts w:ascii="宋体" w:hAnsi="宋体" w:eastAsia="宋体" w:cs="宋体"/>
          <w:spacing w:val="-2"/>
          <w:sz w:val="24"/>
          <w:szCs w:val="24"/>
          <w:lang w:val="en-US" w:eastAsia="en-US"/>
        </w:rPr>
        <w:t xml:space="preserve">)支持26块感兴趣区域(ROI)增强编码功能，ROI区域压缩0～100可设置；</w:t>
      </w:r>
      <w:r/>
    </w:p>
    <w:p>
      <w:pPr>
        <w:spacing w:line="360" w:lineRule="auto"/>
        <w:widowControl w:val="off"/>
        <w:rPr>
          <w:rFonts w:hint="eastAsia" w:ascii="宋体" w:hAnsi="宋体" w:eastAsia="宋体" w:cs="宋体"/>
          <w:spacing w:val="-2"/>
          <w:sz w:val="24"/>
          <w:szCs w:val="24"/>
          <w:highlight w:val="none"/>
          <w:lang w:val="en-US" w:eastAsia="zh-CN"/>
        </w:rPr>
      </w:pPr>
      <w:r>
        <w:rPr>
          <w:rFonts w:ascii="宋体" w:hAnsi="宋体" w:eastAsia="宋体" w:cs="宋体"/>
          <w:spacing w:val="-2"/>
          <w:sz w:val="24"/>
          <w:szCs w:val="24"/>
          <w:highlight w:val="none"/>
          <w:lang w:val="en-US" w:eastAsia="en-US"/>
        </w:rPr>
        <w:t xml:space="preserve">（</w:t>
      </w:r>
      <w:r>
        <w:rPr>
          <w:rFonts w:hint="eastAsia" w:ascii="宋体" w:hAnsi="宋体" w:eastAsia="宋体" w:cs="宋体"/>
          <w:spacing w:val="-2"/>
          <w:sz w:val="24"/>
          <w:szCs w:val="24"/>
          <w:highlight w:val="none"/>
          <w:lang w:val="en-US" w:eastAsia="zh-CN"/>
        </w:rPr>
        <w:t xml:space="preserve">8</w:t>
      </w:r>
      <w:r>
        <w:rPr>
          <w:rFonts w:ascii="宋体" w:hAnsi="宋体" w:eastAsia="宋体" w:cs="宋体"/>
          <w:spacing w:val="-2"/>
          <w:sz w:val="24"/>
          <w:szCs w:val="24"/>
          <w:highlight w:val="none"/>
          <w:lang w:val="en-US" w:eastAsia="en-US"/>
        </w:rPr>
        <w:t xml:space="preserve">）▲在补光环境下，开启图像低照增强功能后，车内人员、车辆车身颜色、车辆号牌可辨。</w:t>
      </w:r>
      <w:r>
        <w:rPr>
          <w:rFonts w:hint="eastAsia" w:ascii="宋体" w:hAnsi="宋体" w:eastAsia="宋体" w:cs="宋体"/>
          <w:b/>
          <w:sz w:val="24"/>
          <w:highlight w:val="none"/>
          <w:lang w:val="en-US" w:eastAsia="zh-CN"/>
        </w:rPr>
        <w:t xml:space="preserve">（</w:t>
      </w:r>
      <w:r>
        <w:rPr>
          <w:rFonts w:hint="eastAsia" w:ascii="宋体" w:hAnsi="宋体" w:cs="宋体"/>
          <w:b/>
          <w:sz w:val="24"/>
          <w:highlight w:val="none"/>
          <w:lang w:val="en-US" w:eastAsia="zh-CN"/>
        </w:rPr>
        <w:t xml:space="preserve">提供国家认可的检测机构出具的检测报告扫描件</w:t>
      </w:r>
      <w:r>
        <w:rPr>
          <w:rFonts w:hint="eastAsia" w:ascii="宋体" w:hAnsi="宋体" w:eastAsia="宋体" w:cs="宋体"/>
          <w:b/>
          <w:sz w:val="24"/>
          <w:highlight w:val="none"/>
          <w:lang w:val="en-US" w:eastAsia="zh-CN"/>
        </w:rPr>
        <w:t xml:space="preserve">加盖公章上传，提供的检测报告内容模糊不清导致无法辨别的，按未提供处理）</w:t>
      </w:r>
      <w:bookmarkStart w:id="29" w:name="_GoBack"/>
      <w:r/>
      <w:bookmarkEnd w:id="29"/>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w:t>
      </w:r>
      <w:r>
        <w:rPr>
          <w:rFonts w:hint="eastAsia" w:ascii="宋体" w:hAnsi="宋体" w:eastAsia="宋体" w:cs="宋体"/>
          <w:spacing w:val="-2"/>
          <w:sz w:val="24"/>
          <w:szCs w:val="24"/>
          <w:lang w:val="en-US" w:eastAsia="zh-CN"/>
        </w:rPr>
        <w:t xml:space="preserve">9</w:t>
      </w:r>
      <w:r>
        <w:rPr>
          <w:rFonts w:ascii="宋体" w:hAnsi="宋体" w:eastAsia="宋体" w:cs="宋体"/>
          <w:spacing w:val="-2"/>
          <w:sz w:val="24"/>
          <w:szCs w:val="24"/>
          <w:lang w:val="en-US" w:eastAsia="en-US"/>
        </w:rPr>
        <w:t xml:space="preserve">）支持在同一视频画面中，可检测、跟踪不小于130个运动人体目标，且抓拍不小于85个运动人脸目标。</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w:t>
      </w:r>
      <w:r>
        <w:rPr>
          <w:rFonts w:hint="eastAsia" w:ascii="宋体" w:hAnsi="宋体" w:eastAsia="宋体" w:cs="宋体"/>
          <w:spacing w:val="-2"/>
          <w:sz w:val="24"/>
          <w:szCs w:val="24"/>
          <w:lang w:val="en-US" w:eastAsia="zh-CN"/>
        </w:rPr>
        <w:t xml:space="preserve">0</w:t>
      </w:r>
      <w:r>
        <w:rPr>
          <w:rFonts w:ascii="宋体" w:hAnsi="宋体" w:eastAsia="宋体" w:cs="宋体"/>
          <w:spacing w:val="-2"/>
          <w:sz w:val="24"/>
          <w:szCs w:val="24"/>
          <w:lang w:val="en-US" w:eastAsia="en-US"/>
        </w:rPr>
        <w:t xml:space="preserve">）★甲方有权对最终采购设备进行测试检验，检测内容如下：900万卡口配套的补光灯在符合项目要求的参数基础上并保证现场补光灯满足一级补光装置要求的瞬间有效光照度不高于80Lux，相机覆盖1-2个车道，抓拍过车图片要求车牌清晰，车身颜色无偏色，车内人脸满足人像平台比对需求，满足甲方实战业务应用，若所采购设备不满足招标要求，甲方有权终止合同，并报相关部门进行处理。</w:t>
      </w:r>
      <w:r>
        <w:rPr>
          <w:rFonts w:hint="eastAsia" w:ascii="宋体" w:hAnsi="宋体" w:eastAsia="宋体" w:cs="宋体"/>
          <w:b/>
          <w:sz w:val="24"/>
          <w:lang w:val="en-US" w:eastAsia="en-US"/>
        </w:rPr>
        <w:t xml:space="preserve">（提供承诺书加盖公章上传</w:t>
      </w:r>
      <w:r>
        <w:rPr>
          <w:rFonts w:hint="eastAsia" w:ascii="宋体" w:hAnsi="宋体" w:cs="宋体"/>
          <w:b/>
          <w:bCs w:val="0"/>
          <w:sz w:val="24"/>
          <w:lang w:val="en-US" w:eastAsia="zh-CN"/>
        </w:rPr>
        <w:t xml:space="preserve">，</w:t>
      </w:r>
      <w:r>
        <w:rPr>
          <w:rFonts w:ascii="宋体" w:hAnsi="宋体" w:eastAsia="宋体" w:cs="宋体"/>
          <w:b/>
          <w:bCs w:val="0"/>
          <w:spacing w:val="-2"/>
          <w:sz w:val="24"/>
          <w:szCs w:val="24"/>
          <w:lang w:val="en-US" w:eastAsia="en-US"/>
        </w:rPr>
        <w:t xml:space="preserve">承诺书格式自拟</w:t>
      </w:r>
      <w:r>
        <w:rPr>
          <w:rFonts w:hint="eastAsia" w:ascii="宋体" w:hAnsi="宋体" w:eastAsia="宋体" w:cs="宋体"/>
          <w:b/>
          <w:bCs w:val="0"/>
          <w:sz w:val="24"/>
          <w:lang w:val="en-US" w:eastAsia="en-US"/>
        </w:rPr>
        <w:t xml:space="preserve">）</w:t>
      </w:r>
      <w:r/>
    </w:p>
    <w:p>
      <w:pPr>
        <w:spacing w:line="360" w:lineRule="auto"/>
        <w:rPr>
          <w:rFonts w:hint="eastAsia" w:ascii="宋体" w:hAnsi="宋体" w:eastAsia="宋体" w:cs="宋体"/>
          <w:b/>
          <w:bCs/>
          <w:sz w:val="24"/>
          <w:lang w:eastAsia="zh-CN"/>
        </w:rPr>
      </w:pPr>
      <w:r>
        <w:rPr>
          <w:rFonts w:hint="eastAsia" w:ascii="宋体" w:hAnsi="宋体" w:eastAsia="宋体" w:cs="宋体"/>
          <w:b/>
          <w:bCs/>
          <w:sz w:val="24"/>
          <w:lang w:eastAsia="zh-CN"/>
        </w:rPr>
        <w:t xml:space="preserve">2.</w:t>
      </w:r>
      <w:r>
        <w:rPr>
          <w:rFonts w:hint="eastAsia" w:ascii="宋体" w:hAnsi="宋体" w:eastAsia="宋体" w:cs="宋体"/>
          <w:b/>
          <w:bCs/>
          <w:sz w:val="24"/>
          <w:lang w:val="en-US" w:eastAsia="zh-CN"/>
        </w:rPr>
        <w:t xml:space="preserve">3</w:t>
      </w:r>
      <w:r>
        <w:rPr>
          <w:rFonts w:hint="eastAsia" w:ascii="宋体" w:hAnsi="宋体" w:eastAsia="宋体" w:cs="宋体"/>
          <w:b/>
          <w:bCs/>
          <w:sz w:val="24"/>
          <w:lang w:eastAsia="zh-CN"/>
        </w:rPr>
        <w:t xml:space="preserve">、高清智能监控球机</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摄像机内置不少于3个镜头，可输出至少一路全景视频和一路细节视频，其中全景内置不少于2个镜头，细节内置1个镜头，全景内置2个镜头，光圈不小于F1.0，具有不小于1/1.8靶面尺寸，内置4颗补光灯，细节内置1个镜头，具备不小于1/1.8靶面尺寸，内置6颗红外补光灯及1颗白光灯；细节通道内置镜头，支持不小于25倍光学变倍，镜头最大焦距不小于135mm；</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(2)全景通道可输出两个镜头无缝拼接的全景图像，拼接偏差像素不大于4个像素，全景画面水平视场角不小于190 °;</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(3)全景通道可进行垂直旋转，旋转范围不低于12 °可调；</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(4)摄像机可在预览画面及抓拍图片中叠加人员和车辆的移动轨迹，轨迹颜色支持红色、黄色、蓝色、绿色、及紫色，轨迹末尾具有一个方向箭头，指向目标离开的方向，抓拍图片大小不大于500KB；</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(5)红外距离不小于200米；</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(6)支持水平旋转范围360 °连续旋转，垂直旋转范围-20 °~90 °;</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(7)具备声音报警输出功能</w:t>
      </w:r>
      <w:r>
        <w:rPr>
          <w:rFonts w:hint="eastAsia" w:ascii="宋体" w:hAnsi="宋体" w:eastAsia="宋体" w:cs="宋体"/>
          <w:spacing w:val="-2"/>
          <w:sz w:val="24"/>
          <w:szCs w:val="24"/>
          <w:lang w:val="en-US" w:eastAsia="zh-CN"/>
        </w:rPr>
        <w:t xml:space="preserve">,</w:t>
      </w:r>
      <w:r>
        <w:rPr>
          <w:rFonts w:ascii="宋体" w:hAnsi="宋体" w:eastAsia="宋体" w:cs="宋体"/>
          <w:spacing w:val="-2"/>
          <w:sz w:val="24"/>
          <w:szCs w:val="24"/>
          <w:lang w:val="en-US" w:eastAsia="en-US"/>
        </w:rPr>
        <w:t xml:space="preserve">可设置11种警戒音、提示音、自定义语音，报警次数1～50次可设；可通过区域入侵侦测、越界侦测、进入区域侦测、离开区域侦测等报警事件，联动声音报警；</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(8)当人或车辆进入警戒区域后，可发出白光警示、声音警示，并启动智能跟踪功能；</w:t>
      </w:r>
      <w:r/>
    </w:p>
    <w:p>
      <w:pPr>
        <w:spacing w:line="360" w:lineRule="auto"/>
        <w:widowControl w:val="off"/>
        <w:rPr>
          <w:rFonts w:hint="eastAsia" w:ascii="宋体" w:hAnsi="宋体" w:eastAsia="宋体" w:cs="宋体"/>
          <w:spacing w:val="-2"/>
          <w:sz w:val="24"/>
          <w:szCs w:val="24"/>
          <w:lang w:val="en-US" w:eastAsia="zh-CN"/>
        </w:rPr>
      </w:pPr>
      <w:r>
        <w:rPr>
          <w:rFonts w:ascii="宋体" w:hAnsi="宋体" w:eastAsia="宋体" w:cs="宋体"/>
          <w:spacing w:val="-2"/>
          <w:sz w:val="24"/>
          <w:szCs w:val="24"/>
          <w:lang w:val="en-US" w:eastAsia="en-US"/>
        </w:rPr>
        <w:t xml:space="preserve">(9)★内置不少于2个GPU芯片；</w:t>
      </w:r>
      <w:r>
        <w:rPr>
          <w:rFonts w:hint="eastAsia" w:ascii="宋体" w:hAnsi="宋体" w:eastAsia="宋体" w:cs="宋体"/>
          <w:b/>
          <w:sz w:val="24"/>
          <w:highlight w:val="none"/>
          <w:lang w:val="en-US" w:eastAsia="zh-CN"/>
        </w:rPr>
        <w:t xml:space="preserve">（</w:t>
      </w:r>
      <w:r>
        <w:rPr>
          <w:rFonts w:hint="eastAsia" w:ascii="宋体" w:hAnsi="宋体" w:cs="宋体"/>
          <w:b/>
          <w:sz w:val="24"/>
          <w:highlight w:val="none"/>
          <w:lang w:val="en-US" w:eastAsia="zh-CN"/>
        </w:rPr>
        <w:t xml:space="preserve">提供国家认可的检测机构出具的检测报告扫描件</w:t>
      </w:r>
      <w:r>
        <w:rPr>
          <w:rFonts w:hint="eastAsia" w:ascii="宋体" w:hAnsi="宋体" w:eastAsia="宋体" w:cs="宋体"/>
          <w:b/>
          <w:sz w:val="24"/>
          <w:highlight w:val="none"/>
          <w:lang w:val="en-US" w:eastAsia="zh-CN"/>
        </w:rPr>
        <w:t xml:space="preserve">加盖公章上传，提供的检测报告内容模糊不清导致无法辨别的，按未提供处理）</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(10)全景路视频图像分辨率不小于3632×1080，细节路视频图像分辨率不小于2560×1440；</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(11)全景通道和细节通道镜头支持最低照度可达彩色0.0002</w:t>
      </w:r>
      <w:r>
        <w:rPr>
          <w:rFonts w:hint="eastAsia" w:ascii="宋体" w:hAnsi="宋体" w:eastAsia="宋体" w:cs="宋体"/>
          <w:spacing w:val="-2"/>
          <w:sz w:val="24"/>
          <w:szCs w:val="24"/>
          <w:lang w:val="en-US" w:eastAsia="zh-CN"/>
        </w:rPr>
        <w:t xml:space="preserve">l</w:t>
      </w:r>
      <w:r>
        <w:rPr>
          <w:rFonts w:ascii="宋体" w:hAnsi="宋体" w:eastAsia="宋体" w:cs="宋体"/>
          <w:spacing w:val="-2"/>
          <w:sz w:val="24"/>
          <w:szCs w:val="24"/>
          <w:lang w:val="en-US" w:eastAsia="en-US"/>
        </w:rPr>
        <w:t xml:space="preserve">x，黑白0.0001</w:t>
      </w:r>
      <w:r>
        <w:rPr>
          <w:rFonts w:hint="eastAsia" w:ascii="宋体" w:hAnsi="宋体" w:eastAsia="宋体" w:cs="宋体"/>
          <w:spacing w:val="-2"/>
          <w:sz w:val="24"/>
          <w:szCs w:val="24"/>
          <w:lang w:val="en-US" w:eastAsia="zh-CN"/>
        </w:rPr>
        <w:t xml:space="preserve">l</w:t>
      </w:r>
      <w:r>
        <w:rPr>
          <w:rFonts w:ascii="宋体" w:hAnsi="宋体" w:eastAsia="宋体" w:cs="宋体"/>
          <w:spacing w:val="-2"/>
          <w:sz w:val="24"/>
          <w:szCs w:val="24"/>
          <w:lang w:val="en-US" w:eastAsia="en-US"/>
        </w:rPr>
        <w:t xml:space="preserve">x；</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（12）摄像机具备AR标签管理功能，可对监控区域的常规点位、卡口点位、人脸点位、重点道路等进行标签标注，最多可添加500个标签；</w:t>
      </w:r>
      <w:r/>
    </w:p>
    <w:p>
      <w:pPr>
        <w:spacing w:line="360" w:lineRule="auto"/>
        <w:widowControl w:val="off"/>
        <w:rPr>
          <w:rFonts w:hint="eastAsia" w:ascii="宋体" w:hAnsi="宋体" w:eastAsia="宋体" w:cs="宋体"/>
          <w:spacing w:val="-2"/>
          <w:sz w:val="24"/>
          <w:szCs w:val="24"/>
          <w:lang w:val="en-US" w:eastAsia="zh-CN"/>
        </w:rPr>
      </w:pPr>
      <w:r>
        <w:rPr>
          <w:rFonts w:ascii="宋体" w:hAnsi="宋体" w:eastAsia="宋体" w:cs="宋体"/>
          <w:spacing w:val="-2"/>
          <w:sz w:val="24"/>
          <w:szCs w:val="24"/>
          <w:lang w:val="en-US" w:eastAsia="en-US"/>
        </w:rPr>
        <w:t xml:space="preserve">(13)支持同时检测监控场景内出现的不少于30张人脸，并可进行抓拍</w:t>
      </w:r>
      <w:r>
        <w:rPr>
          <w:rFonts w:hint="eastAsia" w:ascii="宋体" w:hAnsi="宋体" w:eastAsia="宋体" w:cs="宋体"/>
          <w:spacing w:val="-2"/>
          <w:sz w:val="24"/>
          <w:szCs w:val="24"/>
          <w:lang w:val="en-US" w:eastAsia="zh-CN"/>
        </w:rPr>
        <w:t xml:space="preserve">。</w:t>
      </w:r>
      <w:r/>
    </w:p>
    <w:p>
      <w:pPr>
        <w:spacing w:line="360" w:lineRule="auto"/>
        <w:rPr>
          <w:rFonts w:hint="eastAsia" w:ascii="宋体" w:hAnsi="宋体" w:eastAsia="宋体" w:cs="宋体"/>
          <w:b/>
          <w:bCs/>
          <w:sz w:val="24"/>
          <w:lang w:eastAsia="zh-CN"/>
        </w:rPr>
      </w:pPr>
      <w:r>
        <w:rPr>
          <w:rFonts w:hint="eastAsia" w:ascii="宋体" w:hAnsi="宋体" w:eastAsia="宋体" w:cs="宋体"/>
          <w:b/>
          <w:bCs/>
          <w:sz w:val="24"/>
          <w:lang w:eastAsia="zh-CN"/>
        </w:rPr>
        <w:t xml:space="preserve">2.</w:t>
      </w:r>
      <w:r>
        <w:rPr>
          <w:rFonts w:hint="eastAsia" w:ascii="宋体" w:hAnsi="宋体" w:eastAsia="宋体" w:cs="宋体"/>
          <w:b/>
          <w:bCs/>
          <w:sz w:val="24"/>
          <w:lang w:val="en-US" w:eastAsia="zh-CN"/>
        </w:rPr>
        <w:t xml:space="preserve">4</w:t>
      </w:r>
      <w:r>
        <w:rPr>
          <w:rFonts w:hint="eastAsia" w:ascii="宋体" w:hAnsi="宋体" w:eastAsia="宋体" w:cs="宋体"/>
          <w:b/>
          <w:bCs/>
          <w:sz w:val="24"/>
          <w:lang w:eastAsia="zh-CN"/>
        </w:rPr>
        <w:t xml:space="preserve">、LED频闪补光灯</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16颗原装大功率白光（暖光）LED频闪灯；</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（1）单次闪光能量≥200J；</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（2）色温＞4000K；</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（3）支持5V电平量触发(可选开关量)；</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（4）闪光次数≥2000万次；</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（5）最佳补光距离16m～25m；</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（6）具有脉冲保护功能；</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（7）1路RS485接口、1路频闪输入接口、1路爆闪输入接口、1路同步输出接口；</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（8）补光灯自带光敏控制，在低照度下自动开启；</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（9）可通过RS485远程控制补光灯的亮度，开启/关闭；</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（10）回电时间应≤50ms；</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（11）最大功耗＜300W；</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（12）在-30℃~70℃温度范围内均能正常工作；</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（13）防护等级IP66；</w:t>
      </w:r>
      <w:r/>
    </w:p>
    <w:p>
      <w:pPr>
        <w:spacing w:line="360" w:lineRule="auto"/>
        <w:rPr>
          <w:rFonts w:hint="eastAsia" w:ascii="宋体" w:hAnsi="宋体" w:eastAsia="宋体" w:cs="宋体"/>
          <w:b/>
          <w:bCs/>
          <w:sz w:val="24"/>
          <w:lang w:eastAsia="zh-CN"/>
        </w:rPr>
      </w:pPr>
      <w:r>
        <w:rPr>
          <w:rFonts w:hint="eastAsia" w:ascii="宋体" w:hAnsi="宋体" w:eastAsia="宋体" w:cs="宋体"/>
          <w:b/>
          <w:bCs/>
          <w:sz w:val="24"/>
          <w:lang w:eastAsia="zh-CN"/>
        </w:rPr>
        <w:t xml:space="preserve">2.</w:t>
      </w:r>
      <w:r>
        <w:rPr>
          <w:rFonts w:hint="eastAsia" w:ascii="宋体" w:hAnsi="宋体" w:eastAsia="宋体" w:cs="宋体"/>
          <w:b/>
          <w:bCs/>
          <w:sz w:val="24"/>
          <w:lang w:val="en-US" w:eastAsia="zh-CN"/>
        </w:rPr>
        <w:t xml:space="preserve">5</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多</w:t>
      </w:r>
      <w:r>
        <w:rPr>
          <w:rFonts w:hint="eastAsia" w:ascii="宋体" w:hAnsi="宋体" w:eastAsia="宋体" w:cs="宋体"/>
          <w:b/>
          <w:bCs/>
          <w:sz w:val="24"/>
          <w:lang w:eastAsia="zh-CN"/>
        </w:rPr>
        <w:t xml:space="preserve">合一补光灯</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（1）设备由光源、外壳、安装基座等组成；</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（2）内置不少于24颗原装高亮度LED芯片</w:t>
      </w:r>
      <w:r>
        <w:rPr>
          <w:rFonts w:hint="eastAsia" w:ascii="宋体" w:hAnsi="宋体" w:eastAsia="宋体" w:cs="宋体"/>
          <w:spacing w:val="-2"/>
          <w:sz w:val="24"/>
          <w:szCs w:val="24"/>
          <w:lang w:val="en-US" w:eastAsia="zh-CN"/>
        </w:rPr>
        <w:t xml:space="preserve">,</w:t>
      </w:r>
      <w:r>
        <w:rPr>
          <w:rFonts w:ascii="宋体" w:hAnsi="宋体" w:eastAsia="宋体" w:cs="宋体"/>
          <w:spacing w:val="-2"/>
          <w:sz w:val="24"/>
          <w:szCs w:val="24"/>
          <w:lang w:val="en-US" w:eastAsia="en-US"/>
        </w:rPr>
        <w:t xml:space="preserve">寿命长，稳定性好，发光效率高；</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（3）气体灯管采用专业设计特定灯管，质量可靠，寿命长；</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（4) 经专业光学设计，发光均匀，目标光斑显明，有效减少光污染；</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（5）采用步进电机功能，实现红外滤片的切换；</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（6）LED控制采用先进的恒流驱动技术，电流控制准确、稳定，产品稳定性好、可靠性高，有效减少光衰；设备需自带LED格栅，有效减少周边光污染；</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（7）气体光源回电时间小于67ms，支持超速连拍；</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（8）气体补光控制具有峰值抑制功能；</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（9）需同时支持LED频闪、白光爆闪，红外爆闪；</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（10）支持相机误触发保护功能，触发信号输入异常时自动保护、且自动恢复；</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（11）结构采用IP65设计；</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（12）电源：AC220V±10%；</w:t>
      </w:r>
      <w:r/>
    </w:p>
    <w:p>
      <w:pPr>
        <w:spacing w:line="360" w:lineRule="auto"/>
        <w:widowControl w:val="off"/>
        <w:rPr>
          <w:rFonts w:hint="eastAsia" w:ascii="宋体" w:hAnsi="宋体" w:eastAsia="宋体" w:cs="宋体"/>
          <w:b/>
          <w:sz w:val="24"/>
          <w:lang w:val="en-US" w:eastAsia="zh-CN"/>
        </w:rPr>
      </w:pPr>
      <w:r>
        <w:rPr>
          <w:rFonts w:ascii="宋体" w:hAnsi="宋体" w:eastAsia="宋体" w:cs="宋体"/>
          <w:spacing w:val="-2"/>
          <w:sz w:val="24"/>
          <w:szCs w:val="24"/>
          <w:lang w:val="en-US" w:eastAsia="en-US"/>
        </w:rPr>
        <w:t xml:space="preserve">（13)★设备需符合《交通技术监控成像补光装置通用技术条件》（GA/T 1202-2022）相关规定。</w:t>
      </w:r>
      <w:r>
        <w:rPr>
          <w:rFonts w:hint="eastAsia" w:ascii="宋体" w:hAnsi="宋体" w:eastAsia="宋体" w:cs="宋体"/>
          <w:b/>
          <w:sz w:val="24"/>
          <w:highlight w:val="none"/>
          <w:lang w:val="en-US" w:eastAsia="zh-CN"/>
        </w:rPr>
        <w:t xml:space="preserve">（</w:t>
      </w:r>
      <w:r>
        <w:rPr>
          <w:rFonts w:hint="eastAsia" w:ascii="宋体" w:hAnsi="宋体" w:cs="宋体"/>
          <w:b/>
          <w:sz w:val="24"/>
          <w:highlight w:val="none"/>
          <w:lang w:val="en-US" w:eastAsia="zh-CN"/>
        </w:rPr>
        <w:t xml:space="preserve">提供国家认可的检测机构出具的检测报告扫描件</w:t>
      </w:r>
      <w:r>
        <w:rPr>
          <w:rFonts w:hint="eastAsia" w:ascii="宋体" w:hAnsi="宋体" w:eastAsia="宋体" w:cs="宋体"/>
          <w:b/>
          <w:sz w:val="24"/>
          <w:highlight w:val="none"/>
          <w:lang w:val="en-US" w:eastAsia="zh-CN"/>
        </w:rPr>
        <w:t xml:space="preserve">加盖公章上传，提供的检测报告内容模糊不清导致无法辨别的，按未提供处理）</w:t>
      </w:r>
      <w:r/>
    </w:p>
    <w:p>
      <w:pPr>
        <w:spacing w:line="360" w:lineRule="auto"/>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 xml:space="preserve">2.6</w:t>
      </w:r>
      <w:r>
        <w:rPr>
          <w:rFonts w:hint="eastAsia" w:ascii="宋体" w:hAnsi="宋体" w:eastAsia="宋体" w:cs="宋体"/>
          <w:b/>
          <w:bCs/>
          <w:sz w:val="24"/>
          <w:lang w:eastAsia="zh-CN"/>
        </w:rPr>
        <w:t xml:space="preserve">、</w:t>
      </w:r>
      <w:r>
        <w:rPr>
          <w:rFonts w:hint="eastAsia" w:ascii="宋体" w:hAnsi="宋体" w:eastAsia="宋体" w:cs="宋体"/>
          <w:b/>
          <w:color w:val="auto"/>
          <w:sz w:val="24"/>
          <w:lang w:val="en-US" w:eastAsia="zh-CN"/>
        </w:rPr>
        <w:t xml:space="preserve">红绿灯信号检测器</w:t>
      </w:r>
      <w:r/>
    </w:p>
    <w:p>
      <w:pPr>
        <w:spacing w:line="360" w:lineRule="auto"/>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en-US"/>
        </w:rPr>
        <w:t xml:space="preserve">(1)支持1个RS485接口，≥20个输入接口</w:t>
      </w:r>
      <w:r>
        <w:rPr>
          <w:rFonts w:hint="eastAsia" w:ascii="宋体" w:hAnsi="宋体" w:eastAsia="宋体" w:cs="宋体"/>
          <w:color w:val="auto"/>
          <w:spacing w:val="-2"/>
          <w:sz w:val="24"/>
          <w:szCs w:val="24"/>
          <w:lang w:val="en-US" w:eastAsia="zh-CN"/>
        </w:rPr>
        <w:t xml:space="preserve">；</w:t>
      </w:r>
      <w:r/>
    </w:p>
    <w:p>
      <w:pPr>
        <w:spacing w:line="360" w:lineRule="auto"/>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en-US"/>
        </w:rPr>
        <w:t xml:space="preserve">(2)支持通过配置工具设置红灯检测模式/绿灯检测模式</w:t>
      </w:r>
      <w:r>
        <w:rPr>
          <w:rFonts w:hint="eastAsia" w:ascii="宋体" w:hAnsi="宋体" w:eastAsia="宋体" w:cs="宋体"/>
          <w:color w:val="auto"/>
          <w:spacing w:val="-2"/>
          <w:sz w:val="24"/>
          <w:szCs w:val="24"/>
          <w:lang w:val="en-US" w:eastAsia="zh-CN"/>
        </w:rPr>
        <w:t xml:space="preserve">；</w:t>
      </w:r>
      <w:r/>
    </w:p>
    <w:p>
      <w:pPr>
        <w:spacing w:line="360" w:lineRule="auto"/>
        <w:rPr>
          <w:rFonts w:hint="eastAsia" w:ascii="宋体" w:hAnsi="宋体" w:eastAsia="宋体" w:cs="宋体"/>
          <w:color w:val="auto"/>
          <w:spacing w:val="-2"/>
          <w:sz w:val="24"/>
          <w:szCs w:val="24"/>
          <w:lang w:val="en-US" w:eastAsia="en-US"/>
        </w:rPr>
      </w:pPr>
      <w:r>
        <w:rPr>
          <w:rFonts w:hint="eastAsia" w:ascii="宋体" w:hAnsi="宋体" w:eastAsia="宋体" w:cs="宋体"/>
          <w:color w:val="auto"/>
          <w:spacing w:val="-2"/>
          <w:sz w:val="24"/>
          <w:szCs w:val="24"/>
          <w:lang w:val="en-US" w:eastAsia="en-US"/>
        </w:rPr>
        <w:t xml:space="preserve">(3)支持接入20路红/绿灯信号，进行输入通断检测；</w:t>
      </w:r>
      <w:r/>
    </w:p>
    <w:p>
      <w:pPr>
        <w:spacing w:line="360" w:lineRule="auto"/>
        <w:rPr>
          <w:rFonts w:hint="eastAsia" w:ascii="宋体" w:hAnsi="宋体" w:eastAsia="宋体" w:cs="宋体"/>
          <w:color w:val="auto"/>
          <w:spacing w:val="-2"/>
          <w:sz w:val="24"/>
          <w:szCs w:val="24"/>
          <w:lang w:val="en-US" w:eastAsia="en-US"/>
        </w:rPr>
      </w:pPr>
      <w:r>
        <w:rPr>
          <w:rFonts w:hint="eastAsia" w:ascii="宋体" w:hAnsi="宋体" w:eastAsia="宋体" w:cs="宋体"/>
          <w:color w:val="auto"/>
          <w:spacing w:val="-2"/>
          <w:sz w:val="24"/>
          <w:szCs w:val="24"/>
          <w:lang w:val="en-US" w:eastAsia="en-US"/>
        </w:rPr>
        <w:t xml:space="preserve">(4)支持通过配置工具设置交换机网关，并开启ping功能，用来监测网络状态</w:t>
      </w:r>
      <w:r/>
    </w:p>
    <w:p>
      <w:pPr>
        <w:spacing w:line="360" w:lineRule="auto"/>
        <w:rPr>
          <w:rFonts w:hint="eastAsia" w:ascii="宋体" w:hAnsi="宋体" w:eastAsia="宋体" w:cs="宋体"/>
          <w:color w:val="auto"/>
          <w:spacing w:val="-2"/>
          <w:sz w:val="24"/>
          <w:szCs w:val="24"/>
          <w:lang w:val="en-US" w:eastAsia="en-US"/>
        </w:rPr>
      </w:pPr>
      <w:r>
        <w:rPr>
          <w:rFonts w:hint="eastAsia" w:ascii="宋体" w:hAnsi="宋体" w:eastAsia="宋体" w:cs="宋体"/>
          <w:color w:val="auto"/>
          <w:spacing w:val="-2"/>
          <w:sz w:val="24"/>
          <w:szCs w:val="24"/>
          <w:lang w:val="en-US" w:eastAsia="en-US"/>
        </w:rPr>
        <w:t xml:space="preserve">(5)支持记录最多1700条日志，并通过配置工具查询设备的操作日志、校时日志、ping成功/失败日志、红/绿灯输入信号异常及异常恢复等日志，用于查询设备的操作记录及异常情况</w:t>
      </w:r>
      <w:r>
        <w:rPr>
          <w:rFonts w:hint="eastAsia" w:ascii="宋体" w:hAnsi="宋体" w:eastAsia="宋体" w:cs="宋体"/>
          <w:color w:val="auto"/>
          <w:spacing w:val="-2"/>
          <w:sz w:val="24"/>
          <w:szCs w:val="24"/>
          <w:lang w:val="en-US" w:eastAsia="zh-CN"/>
        </w:rPr>
        <w:t xml:space="preserve">；</w:t>
      </w:r>
      <w:r/>
    </w:p>
    <w:p>
      <w:pPr>
        <w:spacing w:line="360" w:lineRule="auto"/>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en-US"/>
        </w:rPr>
        <w:t xml:space="preserve">(6)支持通过配置工具设置NTP校时/同步PC时间</w:t>
      </w:r>
      <w:r>
        <w:rPr>
          <w:rFonts w:hint="eastAsia" w:ascii="宋体" w:hAnsi="宋体" w:eastAsia="宋体" w:cs="宋体"/>
          <w:color w:val="auto"/>
          <w:spacing w:val="-2"/>
          <w:sz w:val="24"/>
          <w:szCs w:val="24"/>
          <w:lang w:val="en-US" w:eastAsia="zh-CN"/>
        </w:rPr>
        <w:t xml:space="preserve">。</w:t>
      </w:r>
      <w:r/>
    </w:p>
    <w:p>
      <w:pPr>
        <w:pStyle w:val="1096"/>
        <w:numPr>
          <w:ilvl w:val="0"/>
          <w:numId w:val="14"/>
        </w:numPr>
        <w:spacing w:line="360" w:lineRule="auto"/>
        <w:rPr>
          <w:rFonts w:hint="eastAsia" w:ascii="宋体" w:hAnsi="宋体" w:eastAsia="宋体" w:cs="宋体"/>
          <w:b/>
          <w:bCs/>
        </w:rPr>
      </w:pPr>
      <w:r>
        <w:rPr>
          <w:rFonts w:hint="eastAsia" w:ascii="宋体" w:hAnsi="宋体" w:eastAsia="宋体" w:cs="宋体"/>
          <w:b/>
          <w:bCs/>
        </w:rPr>
        <w:t xml:space="preserve">监控指挥中心及外场设备传输系统</w:t>
      </w:r>
      <w:r/>
    </w:p>
    <w:p>
      <w:pPr>
        <w:spacing w:line="360" w:lineRule="auto"/>
        <w:rPr>
          <w:rFonts w:hint="eastAsia" w:ascii="宋体" w:hAnsi="宋体" w:eastAsia="宋体" w:cs="宋体"/>
          <w:b/>
          <w:bCs/>
          <w:sz w:val="24"/>
          <w:highlight w:val="none"/>
          <w:lang w:eastAsia="zh-CN"/>
        </w:rPr>
      </w:pPr>
      <w:r>
        <w:rPr>
          <w:rFonts w:hint="eastAsia" w:ascii="宋体" w:hAnsi="宋体" w:cs="宋体"/>
          <w:b/>
          <w:bCs/>
          <w:sz w:val="24"/>
          <w:highlight w:val="none"/>
          <w:lang w:val="en-US" w:eastAsia="zh-CN"/>
        </w:rPr>
        <w:t xml:space="preserve">3</w:t>
      </w:r>
      <w:r>
        <w:rPr>
          <w:rFonts w:hint="eastAsia" w:ascii="宋体" w:hAnsi="宋体" w:eastAsia="宋体" w:cs="宋体"/>
          <w:b/>
          <w:bCs/>
          <w:sz w:val="24"/>
          <w:highlight w:val="none"/>
          <w:lang w:eastAsia="zh-CN"/>
        </w:rPr>
        <w:t xml:space="preserve">.1、数据智能云存储服务器</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（1）单设备应配置≥1颗64位多核处理器，≥4GB内存，内存最大可支持扩展到≥128GB内存，支持风扇热插拔冗余温控调速风扇。</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（2）支持热插拔冗余金牌电源供电，机箱具备防尘滤网，采用双立柱防震设计；</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（3）可接入2T/3T/4T/6T/8T/10T/12T/14T/16T/18T/20T SATA/SAS硬盘；</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（4）具有48块硬盘热插拔插槽；支持硬盘热插拔设备在读写数据时，热插拔设备内的任意</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块硬盘，设备正常运行不宕机，硬盘不损坏，数据不丢失，业务不中断。</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（5）支持对录像的某个时间点进行添加标签，并可进行查询；支持不低于600MBps 图片并发</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输入，同时不低于600MBps图片并发输出；可同时对接入摄像机的主辅码流进行存储。</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w:t>
      </w:r>
      <w:r>
        <w:rPr>
          <w:rFonts w:hint="eastAsia" w:ascii="宋体" w:hAnsi="宋体" w:eastAsia="宋体" w:cs="宋体"/>
          <w:spacing w:val="-2"/>
          <w:sz w:val="24"/>
          <w:szCs w:val="24"/>
          <w:highlight w:val="none"/>
          <w:lang w:val="en-US" w:eastAsia="zh-CN"/>
        </w:rPr>
        <w:t xml:space="preserve">6</w:t>
      </w:r>
      <w:r>
        <w:rPr>
          <w:rFonts w:ascii="宋体" w:hAnsi="宋体" w:eastAsia="宋体" w:cs="宋体"/>
          <w:spacing w:val="-2"/>
          <w:sz w:val="24"/>
          <w:szCs w:val="24"/>
          <w:highlight w:val="none"/>
          <w:lang w:val="en-US" w:eastAsia="en-US"/>
        </w:rPr>
        <w:t xml:space="preserve">）单设备应标配≥2个千兆网口，可增扩万兆口或光纤接口；</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w:t>
      </w:r>
      <w:r>
        <w:rPr>
          <w:rFonts w:hint="eastAsia" w:ascii="宋体" w:hAnsi="宋体" w:eastAsia="宋体" w:cs="宋体"/>
          <w:spacing w:val="-2"/>
          <w:sz w:val="24"/>
          <w:szCs w:val="24"/>
          <w:highlight w:val="none"/>
          <w:lang w:val="en-US" w:eastAsia="zh-CN"/>
        </w:rPr>
        <w:t xml:space="preserve">7</w:t>
      </w:r>
      <w:r>
        <w:rPr>
          <w:rFonts w:ascii="宋体" w:hAnsi="宋体" w:eastAsia="宋体" w:cs="宋体"/>
          <w:spacing w:val="-2"/>
          <w:sz w:val="24"/>
          <w:szCs w:val="24"/>
          <w:highlight w:val="none"/>
          <w:lang w:val="en-US" w:eastAsia="en-US"/>
        </w:rPr>
        <w:t xml:space="preserve">）应能提供RAID0、1、3、5、6、10、50，60、JBOD、RAIDErasingCode、Raid5EE模式，</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支持全局、局部等多种热备选择，支持坏盘自动重构；</w:t>
      </w:r>
      <w:r/>
    </w:p>
    <w:p>
      <w:pPr>
        <w:numPr>
          <w:ilvl w:val="0"/>
          <w:numId w:val="0"/>
        </w:num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w:t>
      </w:r>
      <w:r>
        <w:rPr>
          <w:rFonts w:hint="eastAsia" w:ascii="宋体" w:hAnsi="宋体" w:eastAsia="宋体" w:cs="宋体"/>
          <w:spacing w:val="-2"/>
          <w:sz w:val="24"/>
          <w:szCs w:val="24"/>
          <w:highlight w:val="none"/>
          <w:lang w:val="en-US" w:eastAsia="zh-CN"/>
        </w:rPr>
        <w:t xml:space="preserve">8</w:t>
      </w:r>
      <w:r>
        <w:rPr>
          <w:rFonts w:ascii="宋体" w:hAnsi="宋体" w:eastAsia="宋体" w:cs="宋体"/>
          <w:spacing w:val="-2"/>
          <w:sz w:val="24"/>
          <w:szCs w:val="24"/>
          <w:highlight w:val="none"/>
          <w:lang w:val="en-US" w:eastAsia="en-US"/>
        </w:rPr>
        <w:t xml:space="preserve">）支持冗余存储；</w:t>
      </w:r>
      <w:r/>
    </w:p>
    <w:p>
      <w:pPr>
        <w:numPr>
          <w:ilvl w:val="0"/>
          <w:numId w:val="0"/>
        </w:numPr>
        <w:spacing w:line="360" w:lineRule="auto"/>
        <w:widowControl w:val="off"/>
        <w:rPr>
          <w:rFonts w:hint="eastAsia"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 xml:space="preserve">（9）满配含存储硬盘48块（容量为10T/块）</w:t>
      </w:r>
      <w:r>
        <w:rPr>
          <w:rFonts w:hint="eastAsia" w:ascii="宋体" w:hAnsi="宋体" w:eastAsia="宋体" w:cs="宋体"/>
          <w:spacing w:val="-2"/>
          <w:sz w:val="24"/>
          <w:szCs w:val="24"/>
          <w:highlight w:val="none"/>
          <w:lang w:val="en-US" w:eastAsia="en-US"/>
        </w:rPr>
        <w:t xml:space="preserve">；</w:t>
      </w:r>
      <w:r/>
    </w:p>
    <w:p>
      <w:pPr>
        <w:numPr>
          <w:ilvl w:val="0"/>
          <w:numId w:val="0"/>
        </w:numPr>
        <w:spacing w:line="360" w:lineRule="auto"/>
        <w:widowControl w:val="off"/>
        <w:rPr>
          <w:rFonts w:ascii="宋体" w:hAnsi="宋体" w:eastAsia="宋体" w:cs="宋体"/>
          <w:spacing w:val="-2"/>
          <w:sz w:val="24"/>
          <w:szCs w:val="24"/>
          <w:highlight w:val="none"/>
          <w:lang w:val="en-US" w:eastAsia="en-US"/>
        </w:rPr>
      </w:pPr>
      <w:r>
        <w:rPr>
          <w:rFonts w:hint="eastAsia" w:ascii="宋体" w:hAnsi="宋体" w:eastAsia="宋体" w:cs="宋体"/>
          <w:spacing w:val="-2"/>
          <w:sz w:val="24"/>
          <w:szCs w:val="24"/>
          <w:highlight w:val="none"/>
          <w:lang w:val="en-US" w:eastAsia="zh-CN"/>
        </w:rPr>
        <w:t xml:space="preserve">（10）</w:t>
      </w:r>
      <w:r>
        <w:rPr>
          <w:rFonts w:hint="eastAsia" w:ascii="宋体" w:hAnsi="宋体" w:eastAsia="宋体" w:cs="宋体"/>
          <w:spacing w:val="-2"/>
          <w:sz w:val="24"/>
          <w:szCs w:val="24"/>
          <w:highlight w:val="none"/>
          <w:lang w:val="en-US" w:eastAsia="en-US"/>
        </w:rPr>
        <w:t xml:space="preserve">≥</w:t>
      </w:r>
      <w:r>
        <w:rPr>
          <w:rFonts w:hint="eastAsia" w:ascii="宋体" w:hAnsi="宋体" w:eastAsia="宋体" w:cs="宋体"/>
          <w:spacing w:val="-2"/>
          <w:sz w:val="24"/>
          <w:szCs w:val="24"/>
          <w:highlight w:val="none"/>
          <w:lang w:val="en-US" w:eastAsia="zh-CN"/>
        </w:rPr>
        <w:t xml:space="preserve">1200W</w:t>
      </w:r>
      <w:r>
        <w:rPr>
          <w:rFonts w:hint="eastAsia" w:ascii="宋体" w:hAnsi="宋体" w:eastAsia="宋体" w:cs="宋体"/>
          <w:spacing w:val="-2"/>
          <w:sz w:val="24"/>
          <w:szCs w:val="24"/>
          <w:highlight w:val="none"/>
          <w:lang w:val="en-US" w:eastAsia="en-US"/>
        </w:rPr>
        <w:t xml:space="preserve">，</w:t>
      </w:r>
      <w:r>
        <w:rPr>
          <w:rFonts w:hint="eastAsia" w:ascii="宋体" w:hAnsi="宋体" w:eastAsia="宋体" w:cs="宋体"/>
          <w:spacing w:val="-2"/>
          <w:sz w:val="24"/>
          <w:szCs w:val="24"/>
          <w:highlight w:val="none"/>
          <w:lang w:val="en-US" w:eastAsia="zh-CN"/>
        </w:rPr>
        <w:t xml:space="preserve">1+1</w:t>
      </w:r>
      <w:r>
        <w:rPr>
          <w:rFonts w:hint="eastAsia" w:ascii="宋体" w:hAnsi="宋体" w:eastAsia="宋体" w:cs="宋体"/>
          <w:spacing w:val="-2"/>
          <w:sz w:val="24"/>
          <w:szCs w:val="24"/>
          <w:highlight w:val="none"/>
          <w:lang w:val="en-US" w:eastAsia="en-US"/>
        </w:rPr>
        <w:t xml:space="preserve">冗余</w:t>
      </w:r>
      <w:r>
        <w:rPr>
          <w:rFonts w:hint="eastAsia" w:ascii="宋体" w:hAnsi="宋体" w:eastAsia="宋体" w:cs="宋体"/>
          <w:spacing w:val="-2"/>
          <w:sz w:val="24"/>
          <w:szCs w:val="24"/>
          <w:highlight w:val="none"/>
          <w:lang w:val="en-US" w:eastAsia="zh-CN"/>
        </w:rPr>
        <w:t xml:space="preserve">电源</w:t>
      </w:r>
      <w:r>
        <w:rPr>
          <w:rFonts w:hint="eastAsia" w:ascii="宋体" w:hAnsi="宋体" w:eastAsia="宋体" w:cs="宋体"/>
          <w:spacing w:val="-2"/>
          <w:sz w:val="24"/>
          <w:szCs w:val="24"/>
          <w:highlight w:val="none"/>
          <w:lang w:val="en-US" w:eastAsia="en-US"/>
        </w:rPr>
        <w:t xml:space="preserve">。</w:t>
      </w:r>
      <w:r/>
    </w:p>
    <w:p>
      <w:pPr>
        <w:spacing w:line="360" w:lineRule="auto"/>
        <w:rPr>
          <w:rFonts w:hint="eastAsia" w:ascii="宋体" w:hAnsi="宋体" w:eastAsia="宋体" w:cs="宋体"/>
          <w:b/>
          <w:bCs/>
          <w:sz w:val="24"/>
          <w:lang w:eastAsia="zh-CN"/>
        </w:rPr>
      </w:pPr>
      <w:r>
        <w:rPr>
          <w:rFonts w:hint="eastAsia" w:ascii="宋体" w:hAnsi="宋体" w:cs="宋体"/>
          <w:b/>
          <w:sz w:val="24"/>
          <w:lang w:val="en-US" w:eastAsia="zh-CN"/>
        </w:rPr>
        <w:t xml:space="preserve">3</w:t>
      </w:r>
      <w:r>
        <w:rPr>
          <w:rFonts w:hint="eastAsia" w:ascii="宋体" w:hAnsi="宋体" w:eastAsia="宋体" w:cs="宋体"/>
          <w:b/>
          <w:sz w:val="24"/>
          <w:lang w:eastAsia="zh-CN"/>
        </w:rPr>
        <w:t xml:space="preserve">.</w:t>
      </w:r>
      <w:r>
        <w:rPr>
          <w:rFonts w:hint="eastAsia" w:ascii="宋体" w:hAnsi="宋体" w:cs="宋体"/>
          <w:b/>
          <w:sz w:val="24"/>
          <w:lang w:val="en-US" w:eastAsia="zh-CN"/>
        </w:rPr>
        <w:t xml:space="preserve">2</w:t>
      </w:r>
      <w:r>
        <w:rPr>
          <w:rFonts w:hint="eastAsia" w:ascii="宋体" w:hAnsi="宋体" w:eastAsia="宋体" w:cs="宋体"/>
          <w:b/>
          <w:sz w:val="24"/>
          <w:lang w:eastAsia="zh-CN"/>
        </w:rPr>
        <w:t xml:space="preserve">、</w:t>
      </w:r>
      <w:r>
        <w:rPr>
          <w:rFonts w:hint="eastAsia" w:ascii="宋体" w:hAnsi="宋体" w:eastAsia="宋体" w:cs="宋体"/>
          <w:b/>
          <w:bCs/>
          <w:sz w:val="24"/>
          <w:lang w:eastAsia="zh-CN"/>
        </w:rPr>
        <w:t xml:space="preserve">应用</w:t>
      </w:r>
      <w:r>
        <w:rPr>
          <w:rFonts w:hint="eastAsia" w:ascii="宋体" w:hAnsi="宋体" w:eastAsia="宋体" w:cs="宋体"/>
          <w:b/>
          <w:bCs/>
          <w:sz w:val="24"/>
          <w:lang w:val="en-US" w:eastAsia="zh-CN"/>
        </w:rPr>
        <w:t xml:space="preserve">管理</w:t>
      </w:r>
      <w:r>
        <w:rPr>
          <w:rFonts w:hint="eastAsia" w:ascii="宋体" w:hAnsi="宋体" w:eastAsia="宋体" w:cs="宋体"/>
          <w:b/>
          <w:bCs/>
          <w:sz w:val="24"/>
          <w:lang w:eastAsia="zh-CN"/>
        </w:rPr>
        <w:t xml:space="preserve">服务器</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en-US"/>
        </w:rPr>
        <w:t xml:space="preserve">（1）2U单路标准机架式服务器CPU：配置1颗国产处理器，核数≥16核，主频≥2.5GHz</w:t>
      </w:r>
      <w:r>
        <w:rPr>
          <w:rFonts w:hint="eastAsia" w:ascii="宋体" w:hAnsi="宋体" w:eastAsia="宋体" w:cs="宋体"/>
          <w:spacing w:val="-2"/>
          <w:sz w:val="24"/>
          <w:szCs w:val="24"/>
          <w:lang w:val="en-US" w:eastAsia="zh-CN"/>
        </w:rPr>
        <w:t xml:space="preserve">；</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en-US"/>
        </w:rPr>
        <w:t xml:space="preserve">（2）内存：配置64G DDR4，16根内存插槽，最大支持扩展至1TB内存</w:t>
      </w:r>
      <w:r>
        <w:rPr>
          <w:rFonts w:hint="eastAsia" w:ascii="宋体" w:hAnsi="宋体" w:eastAsia="宋体" w:cs="宋体"/>
          <w:spacing w:val="-2"/>
          <w:sz w:val="24"/>
          <w:szCs w:val="24"/>
          <w:lang w:val="en-US" w:eastAsia="zh-CN"/>
        </w:rPr>
        <w:t xml:space="preserve">；</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（3）硬盘：配置2块1.2TB 10K SAS硬盘；最高可选支持12块3.5寸(兼容2.5寸)热插拔SATA/SAS硬盘，可选支持2块后置2.5寸热插拔SATA/SAS硬盘;</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（4）阵列卡：配置SAS_HBA卡（支持RAID 0/1/10）;</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（5）PCIE扩展：最大可选支持6个PCIe扩展插槽；</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（6）网口：板载2个千兆电口，支持选配10GbE、25GbE SFP+等多种网络接口；</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（7）其他接口：配置1个千兆RJ-45管理接口，4个USB</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lang w:val="en-US" w:eastAsia="en-US"/>
        </w:rPr>
        <w:t xml:space="preserve">3.0接口，2个位于机箱后部，2个位于机箱前部；1个VGA口，位于机箱后部；可选1个COM口位于机箱后部；</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（8）电源：配置550W（1+1）高效铂金CRPS冗余电源</w:t>
      </w:r>
      <w:r/>
    </w:p>
    <w:p>
      <w:pPr>
        <w:spacing w:line="360" w:lineRule="auto"/>
        <w:rPr>
          <w:rFonts w:hint="eastAsia" w:ascii="宋体" w:hAnsi="宋体" w:eastAsia="宋体" w:cs="宋体"/>
          <w:b/>
          <w:sz w:val="24"/>
          <w:lang w:eastAsia="zh-CN"/>
        </w:rPr>
      </w:pPr>
      <w:r>
        <w:rPr>
          <w:rFonts w:hint="eastAsia" w:ascii="宋体" w:hAnsi="宋体" w:cs="宋体"/>
          <w:b/>
          <w:sz w:val="24"/>
          <w:lang w:val="en-US" w:eastAsia="zh-CN"/>
        </w:rPr>
        <w:t xml:space="preserve">3</w:t>
      </w:r>
      <w:r>
        <w:rPr>
          <w:rFonts w:hint="eastAsia" w:ascii="宋体" w:hAnsi="宋体" w:eastAsia="宋体" w:cs="宋体"/>
          <w:b/>
          <w:sz w:val="24"/>
          <w:lang w:val="en-US" w:eastAsia="zh-CN"/>
        </w:rPr>
        <w:t xml:space="preserve">.</w:t>
      </w:r>
      <w:r>
        <w:rPr>
          <w:rFonts w:hint="eastAsia" w:ascii="宋体" w:hAnsi="宋体" w:cs="宋体"/>
          <w:b/>
          <w:sz w:val="24"/>
          <w:lang w:val="en-US" w:eastAsia="zh-CN"/>
        </w:rPr>
        <w:t xml:space="preserve">3</w:t>
      </w:r>
      <w:r>
        <w:rPr>
          <w:rFonts w:hint="eastAsia" w:ascii="宋体" w:hAnsi="宋体" w:eastAsia="宋体" w:cs="宋体"/>
          <w:b/>
          <w:sz w:val="24"/>
          <w:lang w:val="en-US" w:eastAsia="zh-CN"/>
        </w:rPr>
        <w:t xml:space="preserve">、</w:t>
      </w:r>
      <w:r>
        <w:rPr>
          <w:rFonts w:hint="eastAsia" w:ascii="宋体" w:hAnsi="宋体" w:eastAsia="宋体" w:cs="宋体"/>
          <w:b/>
          <w:sz w:val="24"/>
          <w:lang w:eastAsia="zh-CN"/>
        </w:rPr>
        <w:t xml:space="preserve">16 路智能硬盘录像机</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（1）2个HDMI，2个VGA，HDMI1和VGA1 同源，HDMI2和VGA2 同源，组间异源8盘位，可满配 8T硬盘,2个千兆网口，输入带宽：256Mbps，16 路 H.264、H.265混合接入；</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（2）可接入 1T、2T、3T、4T、6T 容量的SATA接口硬盘；可接入AI硬盘；可接入SSD固态硬盘；可接入加密硬盘；</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（3）开启视频流智能分析，NVR 网络发送带宽不会降低，开启视频流智能分析，NVR解码性能不会降低；</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4）支持在视频预览画面查看实时预警面板，包括：事件名称、事件触发时间、人脸抓图，针对人脸比对同时显示姓名、相似度，针对车辆报警同时显示车牌。针对人体和车辆目标，可分别显示出“人体”、“车辆”，企业技术要求：支持从其他设备接入设定时间的录像文件，并对录像文件进行人脸检测和识别，实时显示识别结果。支持人脸戴眼镜检出率不低于 99%；</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（5）设备的视频输出口HDMI1、HDMI2和 VGA1、VGA2均可以显示系统主菜单；</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（6）同屏预览：支持活动目标与实时预览同屏显示。实时预览的同时可以提取视频画面中的活动目标，可显示人脸、人体、车辆等目标图片，点击图片可即时回放相关录像。</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（7）可获取样机网卡吞吐量、MTU（最大传输单元）、网络接入带宽、网络输出带宽等信息，并支持图形化显示发送速率、接收速率。</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（8）网络状态检测：支持网络延时、丢包测试，支持网络抓包备份。</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（9）网络资源统计：可实时查看设备IP通道接入、远程预览、远程回放及下载、网络接收剩余、网络发送剩余带宽。</w:t>
      </w:r>
      <w:r/>
    </w:p>
    <w:p>
      <w:pPr>
        <w:spacing w:line="360" w:lineRule="auto"/>
        <w:rPr>
          <w:rFonts w:hint="eastAsia" w:ascii="宋体" w:hAnsi="宋体" w:eastAsia="宋体" w:cs="宋体"/>
          <w:b/>
          <w:bCs/>
          <w:sz w:val="24"/>
          <w:lang w:eastAsia="zh-CN"/>
        </w:rPr>
      </w:pPr>
      <w:r>
        <w:rPr>
          <w:rFonts w:hint="eastAsia" w:ascii="宋体" w:hAnsi="宋体" w:cs="宋体"/>
          <w:b/>
          <w:sz w:val="24"/>
          <w:lang w:val="en-US" w:eastAsia="zh-CN"/>
        </w:rPr>
        <w:t xml:space="preserve">3</w:t>
      </w:r>
      <w:r>
        <w:rPr>
          <w:rFonts w:hint="eastAsia" w:ascii="宋体" w:hAnsi="宋体" w:eastAsia="宋体" w:cs="宋体"/>
          <w:b/>
          <w:sz w:val="24"/>
          <w:lang w:eastAsia="zh-CN"/>
        </w:rPr>
        <w:t xml:space="preserve">.</w:t>
      </w:r>
      <w:r>
        <w:rPr>
          <w:rFonts w:hint="eastAsia" w:ascii="宋体" w:hAnsi="宋体" w:cs="宋体"/>
          <w:b/>
          <w:sz w:val="24"/>
          <w:lang w:val="en-US" w:eastAsia="zh-CN"/>
        </w:rPr>
        <w:t xml:space="preserve">4</w:t>
      </w:r>
      <w:r>
        <w:rPr>
          <w:rFonts w:hint="eastAsia" w:ascii="宋体" w:hAnsi="宋体" w:eastAsia="宋体" w:cs="宋体"/>
          <w:b/>
          <w:sz w:val="24"/>
          <w:lang w:eastAsia="zh-CN"/>
        </w:rPr>
        <w:t xml:space="preserve">、</w:t>
      </w:r>
      <w:r>
        <w:rPr>
          <w:rFonts w:hint="eastAsia" w:ascii="宋体" w:hAnsi="宋体" w:eastAsia="宋体" w:cs="宋体"/>
          <w:b/>
          <w:bCs/>
          <w:sz w:val="24"/>
          <w:lang w:eastAsia="zh-CN"/>
        </w:rPr>
        <w:t xml:space="preserve">云存储服务器企业级iot硬盘（</w:t>
      </w:r>
      <w:r>
        <w:rPr>
          <w:rFonts w:hint="eastAsia" w:ascii="宋体" w:hAnsi="宋体" w:eastAsia="宋体" w:cs="宋体"/>
          <w:b/>
          <w:bCs/>
          <w:sz w:val="24"/>
          <w:lang w:val="en-US" w:eastAsia="zh-CN"/>
        </w:rPr>
        <w:t xml:space="preserve">10</w:t>
      </w:r>
      <w:r>
        <w:rPr>
          <w:rFonts w:hint="eastAsia" w:ascii="宋体" w:hAnsi="宋体" w:eastAsia="宋体" w:cs="宋体"/>
          <w:b/>
          <w:bCs/>
          <w:sz w:val="24"/>
          <w:lang w:eastAsia="zh-CN"/>
        </w:rPr>
        <w:t xml:space="preserve">T)：</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3.5",SATA3,512E，3.5 HDD,</w:t>
      </w:r>
      <w:r>
        <w:rPr>
          <w:rFonts w:hint="eastAsia" w:ascii="宋体" w:hAnsi="宋体" w:eastAsia="宋体" w:cs="宋体"/>
          <w:spacing w:val="-2"/>
          <w:sz w:val="24"/>
          <w:szCs w:val="24"/>
          <w:lang w:val="en-US" w:eastAsia="zh-CN"/>
        </w:rPr>
        <w:t xml:space="preserve">10</w:t>
      </w:r>
      <w:r>
        <w:rPr>
          <w:rFonts w:hint="eastAsia" w:ascii="宋体" w:hAnsi="宋体" w:eastAsia="宋体" w:cs="宋体"/>
          <w:spacing w:val="-2"/>
          <w:sz w:val="24"/>
          <w:szCs w:val="24"/>
          <w:lang w:val="en-US" w:eastAsia="en-US"/>
        </w:rPr>
        <w:t xml:space="preserve">TB,7200RPM, 256MB, SATA 6Gb/s。</w:t>
      </w:r>
      <w:r/>
    </w:p>
    <w:p>
      <w:pPr>
        <w:spacing w:line="360" w:lineRule="auto"/>
        <w:rPr>
          <w:rFonts w:hint="eastAsia" w:ascii="宋体" w:hAnsi="宋体" w:eastAsia="宋体" w:cs="宋体"/>
          <w:b/>
          <w:bCs/>
          <w:sz w:val="24"/>
          <w:lang w:val="en-US" w:eastAsia="zh-CN"/>
        </w:rPr>
      </w:pPr>
      <w:r>
        <w:rPr>
          <w:rFonts w:hint="eastAsia" w:ascii="宋体" w:hAnsi="宋体" w:cs="宋体"/>
          <w:b/>
          <w:sz w:val="24"/>
          <w:lang w:val="en-US" w:eastAsia="zh-CN"/>
        </w:rPr>
        <w:t xml:space="preserve">3</w:t>
      </w:r>
      <w:r>
        <w:rPr>
          <w:rFonts w:hint="eastAsia" w:ascii="宋体" w:hAnsi="宋体" w:eastAsia="宋体" w:cs="宋体"/>
          <w:b/>
          <w:sz w:val="24"/>
          <w:lang w:eastAsia="zh-CN"/>
        </w:rPr>
        <w:t xml:space="preserve">.</w:t>
      </w:r>
      <w:r>
        <w:rPr>
          <w:rFonts w:hint="eastAsia" w:ascii="宋体" w:hAnsi="宋体" w:cs="宋体"/>
          <w:b/>
          <w:sz w:val="24"/>
          <w:lang w:val="en-US" w:eastAsia="zh-CN"/>
        </w:rPr>
        <w:t xml:space="preserve">5</w:t>
      </w:r>
      <w:r>
        <w:rPr>
          <w:rFonts w:hint="eastAsia" w:ascii="宋体" w:hAnsi="宋体" w:eastAsia="宋体" w:cs="宋体"/>
          <w:b/>
          <w:sz w:val="24"/>
          <w:lang w:eastAsia="zh-CN"/>
        </w:rPr>
        <w:t xml:space="preserve">、</w:t>
      </w:r>
      <w:r>
        <w:rPr>
          <w:rFonts w:hint="eastAsia" w:ascii="宋体" w:hAnsi="宋体" w:eastAsia="宋体" w:cs="宋体"/>
          <w:b/>
          <w:bCs/>
          <w:sz w:val="24"/>
          <w:lang w:val="en-US" w:eastAsia="zh-CN"/>
        </w:rPr>
        <w:t xml:space="preserve">存储卡：</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类型：MicroSD(TF)、</w:t>
      </w:r>
      <w:r>
        <w:rPr>
          <w:rFonts w:hint="eastAsia" w:ascii="宋体" w:hAnsi="宋体" w:eastAsia="宋体" w:cs="宋体"/>
          <w:spacing w:val="-2"/>
          <w:sz w:val="24"/>
          <w:szCs w:val="24"/>
          <w:highlight w:val="none"/>
          <w:lang w:val="en-US" w:eastAsia="en-US"/>
        </w:rPr>
        <w:t xml:space="preserve">容量：≥</w:t>
      </w:r>
      <w:r>
        <w:rPr>
          <w:rFonts w:hint="eastAsia" w:ascii="宋体" w:hAnsi="宋体" w:cs="宋体"/>
          <w:spacing w:val="-2"/>
          <w:sz w:val="24"/>
          <w:szCs w:val="24"/>
          <w:highlight w:val="none"/>
          <w:lang w:val="en-US" w:eastAsia="zh-CN"/>
        </w:rPr>
        <w:t xml:space="preserve">64</w:t>
      </w:r>
      <w:r>
        <w:rPr>
          <w:rFonts w:hint="eastAsia" w:ascii="宋体" w:hAnsi="宋体" w:eastAsia="宋体" w:cs="宋体"/>
          <w:spacing w:val="-2"/>
          <w:sz w:val="24"/>
          <w:szCs w:val="24"/>
          <w:highlight w:val="none"/>
          <w:lang w:val="en-US" w:eastAsia="en-US"/>
        </w:rPr>
        <w:t xml:space="preserve">G、读取速度：≥1</w:t>
      </w:r>
      <w:r>
        <w:rPr>
          <w:rFonts w:hint="eastAsia" w:ascii="宋体" w:hAnsi="宋体" w:cs="宋体"/>
          <w:spacing w:val="-2"/>
          <w:sz w:val="24"/>
          <w:szCs w:val="24"/>
          <w:highlight w:val="none"/>
          <w:lang w:val="en-US" w:eastAsia="zh-CN"/>
        </w:rPr>
        <w:t xml:space="preserve">2</w:t>
      </w:r>
      <w:r>
        <w:rPr>
          <w:rFonts w:hint="eastAsia" w:ascii="宋体" w:hAnsi="宋体" w:eastAsia="宋体" w:cs="宋体"/>
          <w:spacing w:val="-2"/>
          <w:sz w:val="24"/>
          <w:szCs w:val="24"/>
          <w:highlight w:val="none"/>
          <w:lang w:val="en-US" w:eastAsia="en-US"/>
        </w:rPr>
        <w:t xml:space="preserve">0MB/秒</w:t>
      </w:r>
      <w:r>
        <w:rPr>
          <w:rFonts w:hint="eastAsia" w:ascii="宋体" w:hAnsi="宋体" w:eastAsia="宋体" w:cs="宋体"/>
          <w:spacing w:val="-2"/>
          <w:sz w:val="24"/>
          <w:szCs w:val="24"/>
          <w:lang w:val="en-US" w:eastAsia="en-US"/>
        </w:rPr>
        <w:t xml:space="preserve">、写入速度：≥90MB/S</w:t>
      </w:r>
      <w:r/>
    </w:p>
    <w:p>
      <w:pPr>
        <w:spacing w:line="360" w:lineRule="auto"/>
        <w:rPr>
          <w:rFonts w:ascii="宋体" w:hAnsi="宋体" w:eastAsia="宋体" w:cs="宋体"/>
          <w:b/>
          <w:sz w:val="24"/>
          <w:lang w:eastAsia="zh-CN"/>
        </w:rPr>
      </w:pPr>
      <w:r>
        <w:rPr>
          <w:rFonts w:hint="eastAsia" w:ascii="宋体" w:hAnsi="宋体" w:cs="宋体"/>
          <w:b/>
          <w:bCs/>
          <w:sz w:val="24"/>
          <w:lang w:val="en-US" w:eastAsia="zh-CN"/>
        </w:rPr>
        <w:t xml:space="preserve">3</w:t>
      </w:r>
      <w:r>
        <w:rPr>
          <w:rFonts w:hint="eastAsia" w:ascii="宋体" w:hAnsi="宋体" w:eastAsia="宋体" w:cs="宋体"/>
          <w:b/>
          <w:bCs/>
          <w:sz w:val="24"/>
          <w:lang w:val="en-US" w:eastAsia="zh-CN"/>
        </w:rPr>
        <w:t xml:space="preserve">.6</w:t>
      </w:r>
      <w:r>
        <w:rPr>
          <w:rFonts w:hint="eastAsia" w:ascii="宋体" w:hAnsi="宋体" w:eastAsia="宋体" w:cs="宋体"/>
          <w:b/>
          <w:bCs/>
          <w:sz w:val="24"/>
          <w:lang w:eastAsia="zh-CN"/>
        </w:rPr>
        <w:t xml:space="preserve">、</w:t>
      </w:r>
      <w:r>
        <w:rPr>
          <w:rFonts w:hint="eastAsia" w:ascii="宋体" w:hAnsi="宋体" w:eastAsia="宋体" w:cs="宋体"/>
          <w:b/>
          <w:sz w:val="24"/>
          <w:lang w:eastAsia="zh-CN"/>
        </w:rPr>
        <w:t xml:space="preserve">工业级交换机、光纤收发器技术参数：</w:t>
      </w:r>
      <w:r/>
    </w:p>
    <w:p>
      <w:pPr>
        <w:spacing w:line="360" w:lineRule="auto"/>
        <w:rPr>
          <w:rFonts w:ascii="宋体" w:hAnsi="宋体" w:eastAsia="宋体" w:cs="宋体"/>
          <w:b/>
          <w:sz w:val="24"/>
        </w:rPr>
      </w:pPr>
      <w:r>
        <w:rPr>
          <w:rFonts w:hint="eastAsia" w:ascii="宋体" w:hAnsi="宋体" w:eastAsia="宋体" w:cs="宋体"/>
          <w:b/>
          <w:sz w:val="24"/>
          <w:lang w:val="en-US" w:eastAsia="zh-CN"/>
        </w:rPr>
        <w:t xml:space="preserve">1、</w:t>
      </w:r>
      <w:r>
        <w:rPr>
          <w:rFonts w:hint="eastAsia" w:ascii="宋体" w:hAnsi="宋体" w:eastAsia="宋体" w:cs="宋体"/>
          <w:b/>
          <w:sz w:val="24"/>
        </w:rPr>
        <w:t xml:space="preserve">工业级5</w:t>
      </w:r>
      <w:r>
        <w:rPr>
          <w:rFonts w:hint="eastAsia" w:ascii="宋体" w:hAnsi="宋体" w:eastAsia="宋体" w:cs="宋体"/>
          <w:b/>
          <w:sz w:val="24"/>
          <w:lang w:val="en-US" w:eastAsia="zh-CN"/>
        </w:rPr>
        <w:t xml:space="preserve">/8</w:t>
      </w:r>
      <w:r>
        <w:rPr>
          <w:rFonts w:hint="eastAsia" w:ascii="宋体" w:hAnsi="宋体" w:eastAsia="宋体" w:cs="宋体"/>
          <w:b/>
          <w:sz w:val="24"/>
        </w:rPr>
        <w:t xml:space="preserve">口千兆交换机</w:t>
      </w:r>
      <w:r/>
    </w:p>
    <w:p>
      <w:pPr>
        <w:spacing w:line="360" w:lineRule="auto"/>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zh-CN"/>
        </w:rPr>
        <w:t xml:space="preserve">（1）</w:t>
      </w:r>
      <w:r>
        <w:rPr>
          <w:rFonts w:hint="eastAsia" w:ascii="宋体" w:hAnsi="宋体" w:eastAsia="宋体" w:cs="宋体"/>
          <w:spacing w:val="-2"/>
          <w:sz w:val="24"/>
          <w:szCs w:val="24"/>
          <w:lang w:val="en-US" w:eastAsia="en-US"/>
        </w:rPr>
        <w:t xml:space="preserve">配有5/8路10/100/10001000Base-TX以太网接口；</w:t>
      </w:r>
      <w:r/>
    </w:p>
    <w:p>
      <w:pPr>
        <w:spacing w:line="360" w:lineRule="auto"/>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zh-CN"/>
        </w:rPr>
        <w:t xml:space="preserve">（2）</w:t>
      </w:r>
      <w:r>
        <w:rPr>
          <w:rFonts w:hint="eastAsia" w:ascii="宋体" w:hAnsi="宋体" w:eastAsia="宋体" w:cs="宋体"/>
          <w:spacing w:val="-2"/>
          <w:sz w:val="24"/>
          <w:szCs w:val="24"/>
          <w:lang w:val="en-US" w:eastAsia="en-US"/>
        </w:rPr>
        <w:t xml:space="preserve">支持全双工或半双工模式，并带有自动协商能力；</w:t>
      </w:r>
      <w:r/>
    </w:p>
    <w:p>
      <w:pPr>
        <w:spacing w:line="360" w:lineRule="auto"/>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zh-CN"/>
        </w:rPr>
        <w:t xml:space="preserve">（3）</w:t>
      </w:r>
      <w:r>
        <w:rPr>
          <w:rFonts w:hint="eastAsia" w:ascii="宋体" w:hAnsi="宋体" w:eastAsia="宋体" w:cs="宋体"/>
          <w:spacing w:val="-2"/>
          <w:sz w:val="24"/>
          <w:szCs w:val="24"/>
          <w:lang w:val="en-US" w:eastAsia="en-US"/>
        </w:rPr>
        <w:t xml:space="preserve">10Mbps，100Mbps，1000Mbps自动适应；</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（4）网口支持全自动交叉识别，无需手动操作开关；</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（5）内带存储转发机制，缓存1M，支持多种协议；</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（6）雷击浪涌冲击防护(电源)：5000A(8/20μs)；</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（7）通过继电器输出自动报警功能；</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（8）冗余双直流电源输入过载保护；</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（9）符合</w:t>
      </w:r>
      <w:r>
        <w:rPr>
          <w:rFonts w:hint="eastAsia" w:ascii="宋体" w:hAnsi="宋体" w:eastAsia="宋体" w:cs="宋体"/>
          <w:spacing w:val="-2"/>
          <w:sz w:val="24"/>
          <w:szCs w:val="24"/>
          <w:highlight w:val="none"/>
          <w:lang w:val="en-US" w:eastAsia="zh-CN"/>
        </w:rPr>
        <w:t xml:space="preserve">电信级</w:t>
      </w:r>
      <w:r>
        <w:rPr>
          <w:rFonts w:hint="eastAsia" w:ascii="宋体" w:hAnsi="宋体" w:eastAsia="宋体" w:cs="宋体"/>
          <w:spacing w:val="-2"/>
          <w:sz w:val="24"/>
          <w:szCs w:val="24"/>
          <w:lang w:val="en-US" w:eastAsia="zh-CN"/>
        </w:rPr>
        <w:t xml:space="preserve">运营标准，平均无故障工作在2万小时以上；</w:t>
      </w:r>
      <w:r/>
    </w:p>
    <w:p>
      <w:pPr>
        <w:pStyle w:val="1096"/>
        <w:numPr>
          <w:ilvl w:val="0"/>
          <w:numId w:val="0"/>
        </w:numPr>
        <w:spacing w:line="360" w:lineRule="auto"/>
        <w:rPr>
          <w:rFonts w:hint="eastAsia" w:ascii="宋体" w:hAnsi="宋体" w:eastAsia="宋体" w:cs="宋体"/>
          <w:b/>
          <w:color w:val="000000"/>
          <w:sz w:val="24"/>
          <w:szCs w:val="21"/>
          <w:lang w:val="en-US" w:eastAsia="zh-CN" w:bidi="ar-SA"/>
        </w:rPr>
      </w:pPr>
      <w:r>
        <w:rPr>
          <w:rFonts w:hint="eastAsia" w:ascii="宋体" w:hAnsi="宋体" w:eastAsia="宋体" w:cs="宋体"/>
          <w:b/>
          <w:color w:val="000000"/>
          <w:sz w:val="24"/>
          <w:szCs w:val="21"/>
          <w:lang w:val="en-US" w:eastAsia="zh-CN" w:bidi="ar-SA"/>
        </w:rPr>
        <w:t xml:space="preserve">标准:</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IEEE 802.3 10Base-T、IEEE 802.3u 100Base-T(X)和100Base-FX</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IEEE 802.3ab 1000Base-T(X)</w:t>
      </w:r>
      <w:r/>
    </w:p>
    <w:p>
      <w:pPr>
        <w:pStyle w:val="1096"/>
        <w:numPr>
          <w:ilvl w:val="0"/>
          <w:numId w:val="0"/>
        </w:numPr>
        <w:spacing w:line="360" w:lineRule="auto"/>
        <w:rPr>
          <w:rFonts w:hint="eastAsia" w:ascii="宋体" w:hAnsi="宋体" w:eastAsia="宋体" w:cs="宋体"/>
          <w:b/>
          <w:color w:val="000000"/>
          <w:sz w:val="24"/>
          <w:szCs w:val="21"/>
          <w:lang w:val="en-US" w:eastAsia="zh-CN" w:bidi="ar-SA"/>
        </w:rPr>
      </w:pPr>
      <w:r>
        <w:rPr>
          <w:rFonts w:hint="eastAsia" w:ascii="宋体" w:hAnsi="宋体" w:eastAsia="宋体" w:cs="宋体"/>
          <w:b/>
          <w:color w:val="000000"/>
          <w:sz w:val="24"/>
          <w:szCs w:val="21"/>
          <w:lang w:val="en-US" w:eastAsia="zh-CN" w:bidi="ar-SA"/>
        </w:rPr>
        <w:t xml:space="preserve">接口:</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spacing w:val="-2"/>
          <w:sz w:val="24"/>
          <w:szCs w:val="24"/>
          <w:lang w:val="en-US" w:eastAsia="zh-CN"/>
        </w:rPr>
        <w:t xml:space="preserve">（</w:t>
      </w:r>
      <w:r>
        <w:rPr>
          <w:rFonts w:hint="eastAsia" w:ascii="宋体" w:hAnsi="宋体" w:eastAsia="宋体" w:cs="宋体"/>
          <w:color w:val="000000"/>
          <w:spacing w:val="-2"/>
          <w:sz w:val="24"/>
          <w:szCs w:val="24"/>
          <w:lang w:val="en-US" w:eastAsia="zh-CN"/>
        </w:rPr>
        <w:t xml:space="preserve">1）千兆以太网：5/8路千兆RJ-45，支持10/100/1000Base-T（X）</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（2）LED指示灯：PWR1，PWR2，FAIL电源告警灯,RJ-45指示灯</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（3）报警触点：一路继电器输出，常开常闭，容量1A@24VDC</w:t>
      </w:r>
      <w:r/>
    </w:p>
    <w:p>
      <w:pPr>
        <w:pStyle w:val="1096"/>
        <w:numPr>
          <w:ilvl w:val="0"/>
          <w:numId w:val="0"/>
        </w:numPr>
        <w:spacing w:line="360" w:lineRule="auto"/>
        <w:rPr>
          <w:rFonts w:hint="eastAsia" w:ascii="宋体" w:hAnsi="宋体" w:eastAsia="宋体" w:cs="宋体"/>
          <w:b/>
          <w:color w:val="000000"/>
          <w:sz w:val="24"/>
          <w:szCs w:val="21"/>
          <w:lang w:val="en-US" w:eastAsia="zh-CN" w:bidi="ar-SA"/>
        </w:rPr>
      </w:pPr>
      <w:r>
        <w:rPr>
          <w:rFonts w:hint="eastAsia" w:ascii="宋体" w:hAnsi="宋体" w:eastAsia="宋体" w:cs="宋体"/>
          <w:b/>
          <w:color w:val="000000"/>
          <w:sz w:val="24"/>
          <w:szCs w:val="21"/>
          <w:lang w:val="en-US" w:eastAsia="zh-CN" w:bidi="ar-SA"/>
        </w:rPr>
        <w:t xml:space="preserve">电源需求:</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（1）输入电压：DC 12/24/48V宽压、冗余双电源输入</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（2）功耗:最大5 Watts</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（3）浪涌防护(以太网)：±8KV接触放电；±15KV空气放电</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（4）雷击浪涌冲击防护(以太网)：共模±4KV(10/700μs)</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（5）差模±2KV(10/700μs)</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（6）雷击浪涌冲击防护(电源)：5000A(8/20μs)</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（7）接口端子：1个可插拔的6针接线端子</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（8）过载保护：提供</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（9）反接保护：提供</w:t>
      </w:r>
      <w:r/>
    </w:p>
    <w:p>
      <w:pPr>
        <w:pStyle w:val="1096"/>
        <w:numPr>
          <w:ilvl w:val="0"/>
          <w:numId w:val="0"/>
        </w:numPr>
        <w:spacing w:line="360" w:lineRule="auto"/>
        <w:rPr>
          <w:rFonts w:hint="eastAsia" w:ascii="宋体" w:hAnsi="宋体" w:eastAsia="宋体" w:cs="宋体"/>
          <w:b/>
          <w:color w:val="000000"/>
          <w:sz w:val="24"/>
          <w:szCs w:val="21"/>
          <w:lang w:val="en-US" w:eastAsia="zh-CN" w:bidi="ar-SA"/>
        </w:rPr>
      </w:pPr>
      <w:r>
        <w:rPr>
          <w:rFonts w:hint="eastAsia" w:ascii="宋体" w:hAnsi="宋体" w:eastAsia="宋体" w:cs="宋体"/>
          <w:b/>
          <w:color w:val="000000"/>
          <w:sz w:val="24"/>
          <w:szCs w:val="21"/>
          <w:lang w:val="en-US" w:eastAsia="zh-CN" w:bidi="ar-SA"/>
        </w:rPr>
        <w:t xml:space="preserve">机械特性:</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（1）外壳：IP30防护等级</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（2）安装方式：导轨式安装\墙式安装（默认为导轨式安装）</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（3）尺寸（W x H x D）：150mm×47.6mm×100mm</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（4）工作环境:工作温度：-40℃~85℃ 储存温度：-40℃~85℃ 相对湿度：0～95% (无凝露)</w:t>
      </w:r>
      <w:r/>
    </w:p>
    <w:p>
      <w:pPr>
        <w:pStyle w:val="1096"/>
        <w:numPr>
          <w:ilvl w:val="0"/>
          <w:numId w:val="0"/>
        </w:numPr>
        <w:spacing w:line="360" w:lineRule="auto"/>
        <w:rPr>
          <w:rFonts w:hint="eastAsia" w:ascii="宋体" w:hAnsi="宋体" w:eastAsia="宋体" w:cs="宋体"/>
          <w:b/>
          <w:color w:val="000000"/>
          <w:sz w:val="24"/>
          <w:szCs w:val="21"/>
          <w:lang w:val="en-US" w:eastAsia="zh-CN" w:bidi="ar-SA"/>
        </w:rPr>
      </w:pPr>
      <w:r>
        <w:rPr>
          <w:rFonts w:hint="eastAsia" w:ascii="宋体" w:hAnsi="宋体" w:eastAsia="宋体" w:cs="宋体"/>
          <w:b/>
          <w:color w:val="000000"/>
          <w:sz w:val="24"/>
          <w:szCs w:val="21"/>
          <w:lang w:val="en-US" w:eastAsia="zh-CN" w:bidi="ar-SA"/>
        </w:rPr>
        <w:t xml:space="preserve">行业标准:</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EMI：FCC Part 15 Subpart B classA，EN55022 class A</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EMS：IEC(EN)61000-4-2(ESD)，IEC(EN)61000-4-3(RS)，IEC(EN)61000-4-4(EFT)，</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IEC(EN)61000-4-5(Surge)，IEC(EN)61000-4-6(CS)，IEC(EN)61000-4-8</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IEC 60068-2-27(Shock)</w:t>
      </w:r>
      <w:r/>
    </w:p>
    <w:p>
      <w:pPr>
        <w:spacing w:line="360" w:lineRule="auto"/>
        <w:widowControl w:val="off"/>
        <w:rPr>
          <w:rFonts w:ascii="宋体" w:hAnsi="宋体" w:eastAsia="宋体" w:cs="宋体"/>
          <w:b/>
          <w:sz w:val="24"/>
          <w:lang w:eastAsia="zh-CN"/>
        </w:rPr>
      </w:pPr>
      <w:r>
        <w:rPr>
          <w:rFonts w:hint="eastAsia" w:ascii="宋体" w:hAnsi="宋体" w:eastAsia="宋体" w:cs="宋体"/>
          <w:b/>
          <w:sz w:val="24"/>
          <w:lang w:val="en-US" w:eastAsia="zh-CN"/>
        </w:rPr>
        <w:t xml:space="preserve">2、</w:t>
      </w:r>
      <w:r>
        <w:rPr>
          <w:rFonts w:hint="eastAsia" w:ascii="宋体" w:hAnsi="宋体" w:eastAsia="宋体" w:cs="宋体"/>
          <w:b/>
          <w:sz w:val="24"/>
          <w:lang w:eastAsia="zh-CN"/>
        </w:rPr>
        <w:t xml:space="preserve">工业级千兆光纤收发器</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（1）采用优质的光电一体化模块提供良好的光特性和电气特性，保证数据传输可靠，工作寿命长；</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（2）支持全双工或半双工模式，并带有自动协商能力10Mbps，100Mbps，1000Mbps 自动适应网口支持全自动交叉识别内带存储转发机制，缓存1M；</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（3）符合电信级运营标准，平均无故障工作在5万小时以上；</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color w:val="000000"/>
          <w:spacing w:val="-2"/>
          <w:sz w:val="24"/>
          <w:szCs w:val="24"/>
          <w:lang w:val="en-US" w:eastAsia="zh-CN"/>
        </w:rPr>
        <w:t xml:space="preserve">（4）</w:t>
      </w:r>
      <w:r>
        <w:rPr>
          <w:rFonts w:hint="eastAsia" w:ascii="宋体" w:hAnsi="宋体" w:eastAsia="宋体" w:cs="宋体"/>
          <w:spacing w:val="-2"/>
          <w:sz w:val="24"/>
          <w:szCs w:val="24"/>
          <w:lang w:val="en-US" w:eastAsia="zh-CN"/>
        </w:rPr>
        <w:t xml:space="preserve">工作电压：12/24/48VDC(10.8~52.8VDC)，支持反接保护；</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color w:val="000000"/>
          <w:spacing w:val="-2"/>
          <w:sz w:val="24"/>
          <w:szCs w:val="24"/>
          <w:lang w:val="en-US" w:eastAsia="zh-CN"/>
        </w:rPr>
        <w:t xml:space="preserve">（5）</w:t>
      </w:r>
      <w:r>
        <w:rPr>
          <w:rFonts w:hint="eastAsia" w:ascii="宋体" w:hAnsi="宋体" w:eastAsia="宋体" w:cs="宋体"/>
          <w:spacing w:val="-2"/>
          <w:sz w:val="24"/>
          <w:szCs w:val="24"/>
          <w:lang w:val="en-US" w:eastAsia="zh-CN"/>
        </w:rPr>
        <w:t xml:space="preserve">使用SC光纤接口（可选 ST、FC接口）；</w:t>
      </w:r>
      <w:r/>
    </w:p>
    <w:p>
      <w:pPr>
        <w:pStyle w:val="1096"/>
        <w:spacing w:line="360" w:lineRule="auto"/>
        <w:rPr>
          <w:rFonts w:hint="eastAsia" w:ascii="宋体" w:hAnsi="宋体" w:eastAsia="宋体" w:cs="宋体"/>
          <w:b/>
          <w:color w:val="000000"/>
          <w:sz w:val="24"/>
          <w:szCs w:val="21"/>
          <w:lang w:val="en-US" w:eastAsia="zh-CN" w:bidi="ar-SA"/>
        </w:rPr>
      </w:pPr>
      <w:r>
        <w:rPr>
          <w:rFonts w:hint="eastAsia" w:ascii="宋体" w:hAnsi="宋体" w:eastAsia="宋体" w:cs="宋体"/>
          <w:b/>
          <w:color w:val="000000"/>
          <w:sz w:val="24"/>
          <w:szCs w:val="21"/>
          <w:lang w:val="en-US" w:eastAsia="zh-CN" w:bidi="ar-SA"/>
        </w:rPr>
        <w:t xml:space="preserve">标准:</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IEEE 802.3、IEEE 802.3u、IEEE 802.3ab、IEEE 802.3z、IEEE 802.3x</w:t>
      </w:r>
      <w:r/>
    </w:p>
    <w:p>
      <w:pPr>
        <w:pStyle w:val="1096"/>
        <w:spacing w:line="360" w:lineRule="auto"/>
        <w:rPr>
          <w:color w:val="auto"/>
        </w:rPr>
      </w:pPr>
      <w:r>
        <w:rPr>
          <w:rFonts w:hint="eastAsia" w:ascii="宋体" w:hAnsi="宋体" w:eastAsia="宋体" w:cs="宋体"/>
          <w:b/>
          <w:color w:val="000000"/>
          <w:sz w:val="24"/>
          <w:szCs w:val="21"/>
          <w:lang w:val="en-US" w:eastAsia="zh-CN" w:bidi="ar-SA"/>
        </w:rPr>
        <w:t xml:space="preserve">接口:</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（1）千兆以太网：1路千兆 RJ-45，支持 10/100/1000Base-T（X）；</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（2）光纤端口：1路 1*9 光纤接口（可选 ST、FC、SC 接口）,支持；</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（3）1000 Base-X；</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（4）LED 指示灯：PWR 电源灯，FDX 光纤指示灯,ACT 网络数据传输指示灯，LINK 网络连接指示灯；</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（5）传输光纤:多模：50/125，62.5/125、单模：8.3/125，8.7/125，9/125，10/125μm；</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（6）传输距离:多模：2km、单模：20km，根据用户需求可订制40Km、60Km、80km、120km。连接线缆UTP5类线：100m；</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电源需求:</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（1）输入电压：12/24/48VDC（10.8~52.8VDC）</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（2）功耗:最大 3 Watts</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（3）接口端子：1 个可插拔的3针接线端子</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（4）过载保护：提供</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（5）反接保护：提供</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机械特性:</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（1）外壳：IP30 防护等级</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（2）安装方式：导轨式安装\壁挂式安装</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（3）尺寸（W x H x D）：150mm×37mm×100mm</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工作环境:</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（1）工作温度：-40℃~85℃</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（2）储存温度：-40℃~85℃</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（3）相对湿度：0～95% (无凝露)</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行业标准:</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EMI：FCC Part 15 Subpart B classA，EN55022 class A</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EMS：IEC(EN)61000-4-2(ESD)、IEC(EN)61000-4-3(RS)、IEC(EN)61000-4-4(EFT)、</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IEC(EN)61000-4-5(Surge)、IEC(EN)61000-4-6(CS)、IEC(EN)61000-4-8、IEC 60068-2-27(Shock)、IEC 60068-2-32(Freefall)、IEC 60068-2-6(Vibration)</w:t>
      </w:r>
      <w:r/>
    </w:p>
    <w:p>
      <w:pPr>
        <w:pStyle w:val="1096"/>
        <w:numPr>
          <w:ilvl w:val="0"/>
          <w:numId w:val="14"/>
        </w:numP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防雷接地</w:t>
      </w:r>
      <w:r/>
    </w:p>
    <w:p>
      <w:pPr>
        <w:spacing w:line="360"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4.1、接地</w:t>
      </w:r>
      <w:r/>
    </w:p>
    <w:p>
      <w:pPr>
        <w:spacing w:line="360" w:lineRule="auto"/>
        <w:rPr>
          <w:rFonts w:hint="eastAsia" w:ascii="Calibri" w:hAnsi="Calibri"/>
          <w:sz w:val="24"/>
          <w:szCs w:val="24"/>
          <w:highlight w:val="none"/>
        </w:rPr>
      </w:pPr>
      <w:r>
        <w:rPr>
          <w:rFonts w:hint="eastAsia" w:ascii="Calibri" w:hAnsi="Calibri"/>
          <w:sz w:val="24"/>
          <w:szCs w:val="24"/>
          <w:highlight w:val="none"/>
        </w:rPr>
        <w:t xml:space="preserve">杆件保护地线应与接地体/接地棒有效连接，接地电阻应小于</w:t>
      </w:r>
      <w:r>
        <w:rPr>
          <w:rFonts w:hint="eastAsia" w:ascii="Calibri" w:hAnsi="Calibri"/>
          <w:sz w:val="24"/>
          <w:szCs w:val="24"/>
          <w:highlight w:val="none"/>
          <w:lang w:val="en-US" w:eastAsia="zh-CN"/>
        </w:rPr>
        <w:t xml:space="preserve">4</w:t>
      </w:r>
      <w:r>
        <w:rPr>
          <w:rFonts w:hint="eastAsia" w:ascii="Calibri" w:hAnsi="Calibri"/>
          <w:sz w:val="24"/>
          <w:szCs w:val="24"/>
          <w:highlight w:val="none"/>
        </w:rPr>
        <w:t xml:space="preserve">Ω，防雷符合《安全防范系统雷电浪涌防护技术要求》。垂直接地极采用L50×50×5mm 长2.5m的镀锌角钢，水平接地极采用50×5mm 镀锌扁钢，接地引上线用40×4mm 的镀锌扁钢、50mm</w:t>
      </w:r>
      <w:r>
        <w:rPr>
          <w:rFonts w:hint="eastAsia" w:ascii="Calibri" w:hAnsi="Calibri"/>
          <w:sz w:val="24"/>
          <w:szCs w:val="24"/>
          <w:highlight w:val="none"/>
          <w:vertAlign w:val="superscript"/>
        </w:rPr>
        <w:t xml:space="preserve">2</w:t>
      </w:r>
      <w:r>
        <w:rPr>
          <w:rFonts w:hint="eastAsia" w:ascii="Calibri" w:hAnsi="Calibri"/>
          <w:sz w:val="24"/>
          <w:szCs w:val="24"/>
          <w:highlight w:val="none"/>
        </w:rPr>
        <w:t xml:space="preserve">的绝缘多股铜导线。将接地极打入土层（最好是常年比较潮湿的地方），地线顶端埋深应大于0.8m，接地极与基础的距离应＞10m，接地极之间的距离＞5m。角钢与角钢之间用50×5的镀锌扁钢（也埋设在距顶端0.8 m 的地方）以焊接方式连接，焊接完成后，焊接处应进行防腐防锈处理。</w:t>
      </w:r>
      <w:r/>
    </w:p>
    <w:p>
      <w:pPr>
        <w:spacing w:line="360"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4.</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lang w:eastAsia="zh-CN"/>
        </w:rPr>
        <w:t xml:space="preserve">、防雷设施</w:t>
      </w:r>
      <w:r/>
    </w:p>
    <w:p>
      <w:pPr>
        <w:ind w:firstLine="480"/>
        <w:spacing w:line="360" w:lineRule="auto"/>
        <w:rPr>
          <w:rFonts w:hint="eastAsia" w:ascii="宋体" w:hAnsi="宋体" w:eastAsia="宋体" w:cs="宋体"/>
          <w:b/>
          <w:bCs/>
          <w:highlight w:val="none"/>
        </w:rPr>
      </w:pPr>
      <w:r>
        <w:rPr>
          <w:rFonts w:hint="eastAsia" w:ascii="Calibri" w:hAnsi="Calibri"/>
          <w:sz w:val="24"/>
          <w:szCs w:val="24"/>
          <w:highlight w:val="none"/>
        </w:rPr>
        <w:t xml:space="preserve">所有外场设备立柱均设置避雷针，避雷针与杆体及设备做绝缘处理，同时在各外场设备信号线以及供电电缆的接口处安装防雷保护器。</w:t>
      </w:r>
      <w:r/>
    </w:p>
    <w:p>
      <w:pPr>
        <w:pStyle w:val="1096"/>
        <w:numPr>
          <w:ilvl w:val="0"/>
          <w:numId w:val="14"/>
        </w:numP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行人和非机动车电子劝导员及非机动车闯红灯</w:t>
      </w:r>
      <w:r/>
    </w:p>
    <w:p>
      <w:pPr>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5.1</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1200万像素相机</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1、高清抓拍单元由摄像机、高清镜头、室外防护罩、风扇、补光灯、电源适配器、安装万向节等组成；</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2、靶面尺寸≥1英寸；视频分辨率≥4096*3072；</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3、支持抓拍非机动车违章：违法非占机、载人、未戴头盔、逆行、闯红灯；</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4、支持非机动车特征检测：伞棚、载人人数等特征检测；</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5、支持区分机动车、非机动车或二轮车（摩托车、自行车，电动二轮车）和行人；</w:t>
      </w:r>
      <w:r/>
    </w:p>
    <w:p>
      <w:pPr>
        <w:ind w:firstLine="504"/>
        <w:spacing w:line="360" w:lineRule="auto"/>
        <w:rPr>
          <w:rFonts w:hint="eastAsia" w:ascii="Times New Roman" w:hAnsi="Times New Roman" w:eastAsia="宋体" w:cs="Times New Roman"/>
          <w:b/>
          <w:bCs/>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▲6、支持对非机动车闯红灯、越线停车、非机动车占道、逆行、未戴安全帽、装载伞具等行为进行检测、抓拍，白天识别准确率≥99%，晚上识别准确率≥99%；</w:t>
      </w:r>
      <w:r>
        <w:rPr>
          <w:rFonts w:hint="eastAsia" w:ascii="Times New Roman" w:hAnsi="Times New Roman" w:eastAsia="宋体" w:cs="Times New Roman"/>
          <w:b/>
          <w:bCs/>
          <w:spacing w:val="6"/>
          <w:sz w:val="24"/>
          <w:szCs w:val="24"/>
          <w:highlight w:val="none"/>
          <w:lang w:val="en-US" w:eastAsia="zh-CN"/>
        </w:rPr>
        <w:t xml:space="preserve">（</w:t>
      </w:r>
      <w:r>
        <w:rPr>
          <w:rFonts w:hint="eastAsia" w:cs="Times New Roman"/>
          <w:b/>
          <w:bCs/>
          <w:spacing w:val="6"/>
          <w:sz w:val="24"/>
          <w:szCs w:val="24"/>
          <w:highlight w:val="none"/>
          <w:lang w:val="en-US" w:eastAsia="zh-CN"/>
        </w:rPr>
        <w:t xml:space="preserve">提供国家认可的检测机构出具的检测报告扫描件</w:t>
      </w:r>
      <w:r>
        <w:rPr>
          <w:rFonts w:hint="eastAsia" w:ascii="Times New Roman" w:hAnsi="Times New Roman" w:eastAsia="宋体" w:cs="Times New Roman"/>
          <w:b/>
          <w:bCs/>
          <w:spacing w:val="6"/>
          <w:sz w:val="24"/>
          <w:szCs w:val="24"/>
          <w:highlight w:val="none"/>
          <w:lang w:val="en-US" w:eastAsia="zh-CN"/>
        </w:rPr>
        <w:t xml:space="preserve">加盖公章上传）</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7、支持检测并跟踪指定区域内不少于 245 个目标，目标包括机动车、非机动车以及行人；</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8、支持语音文件导入，并选定语音输出到摄像机音频口；</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9、支持主码流同时输出不少于 30 路的图像以提供客户端浏览；</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10、支持对非机动车和行人目标检测并显示结构化信息。</w:t>
      </w:r>
      <w:r/>
    </w:p>
    <w:p>
      <w:pPr>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5.2</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定向音频（户外音柱）</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1、输出音量可调节，功率≥20W；</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2、铝合金外壳，满足户外使用条件，防护等级不低于IP66；</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3、音频输入信息可自定义，支持多种人声输出可调可选；</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4、支持控制固定语句音频输出。</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终端管理设备：</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1、具有≥18个10M/100M/1000M自适应RJ45接口，≥2个1000M SFP光端接口，≥2个报警输入接口，≥2个报警输出接口；</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2、硬盘槽位≥4个，本次内置≥1块8T硬盘；</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3、支持对抓拍机抓拍的非机动车数据（抓拍及违章数据）进行接收、存储、查询、转发；</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4、可配置多种字符叠加、图片合成模式；</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5、支持机柜门打开后声音报警及报警上传功能；</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6、支持≥12个通道的非机动车过车记录存储、图片存储、视频存储、抓拍及违章数据上传、视频流转发。</w:t>
      </w:r>
      <w:r/>
    </w:p>
    <w:p>
      <w:pPr>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5.3</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信号检测器</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1、具有≥6路信号灯交流信号输入接口、≥4个RS485输出接口、≥1路100M网口输出、≥1个5VDC输出接口；</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2、具有≥5路拨码开关，用来设置波特率、地址和上传模式；</w:t>
      </w:r>
      <w:r/>
    </w:p>
    <w:p>
      <w:pPr>
        <w:ind w:firstLine="504"/>
        <w:spacing w:line="360" w:lineRule="auto"/>
        <w:rPr>
          <w:rFonts w:hint="eastAsia" w:ascii="Times New Roman" w:hAnsi="Times New Roman" w:eastAsia="宋体" w:cs="Times New Roman"/>
          <w:spacing w:val="6"/>
          <w:sz w:val="24"/>
          <w:szCs w:val="24"/>
          <w:highlight w:val="green"/>
          <w:lang w:val="en-US" w:eastAsia="zh-CN"/>
        </w:rPr>
      </w:pPr>
      <w:r>
        <w:rPr>
          <w:rFonts w:hint="eastAsia" w:ascii="Times New Roman" w:hAnsi="Times New Roman" w:eastAsia="宋体" w:cs="Times New Roman"/>
          <w:spacing w:val="6"/>
          <w:sz w:val="24"/>
          <w:szCs w:val="24"/>
          <w:highlight w:val="none"/>
          <w:lang w:val="en-US" w:eastAsia="zh-CN"/>
        </w:rPr>
        <w:t xml:space="preserve">3、具有≥16路交通灯状态指示，支持实时输出交通灯信号状态。</w:t>
      </w:r>
      <w:r/>
    </w:p>
    <w:p>
      <w:pPr>
        <w:pStyle w:val="1096"/>
        <w:numPr>
          <w:ilvl w:val="0"/>
          <w:numId w:val="14"/>
        </w:numPr>
        <w:spacing w:line="360" w:lineRule="auto"/>
        <w:rPr>
          <w:rFonts w:hint="eastAsia" w:ascii="宋体" w:hAnsi="宋体" w:eastAsia="宋体" w:cs="宋体"/>
          <w:b/>
          <w:bCs/>
          <w:sz w:val="24"/>
          <w:highlight w:val="none"/>
          <w:lang w:eastAsia="zh-CN"/>
        </w:rPr>
      </w:pPr>
      <w:r>
        <w:rPr>
          <w:rFonts w:hint="eastAsia" w:ascii="宋体" w:hAnsi="宋体" w:eastAsia="宋体" w:cs="宋体"/>
          <w:b/>
          <w:bCs/>
          <w:highlight w:val="none"/>
        </w:rPr>
        <w:t xml:space="preserve">金湖县文明城市智慧交通管理平台系统技术参数：</w:t>
      </w:r>
      <w:r/>
    </w:p>
    <w:p>
      <w:pPr>
        <w:ind w:firstLine="472"/>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系统主要为新增非机动车逆行、走机动车道等2个违法行为抓拍模块。2个模块</w:t>
      </w:r>
      <w:r>
        <w:rPr>
          <w:rFonts w:hint="eastAsia" w:ascii="宋体" w:hAnsi="宋体" w:cs="宋体"/>
          <w:color w:val="000000"/>
          <w:spacing w:val="-2"/>
          <w:sz w:val="24"/>
          <w:szCs w:val="24"/>
          <w:lang w:val="en-US" w:eastAsia="zh-CN"/>
        </w:rPr>
        <w:t xml:space="preserve">参考价格</w:t>
      </w:r>
      <w:r>
        <w:rPr>
          <w:rFonts w:hint="eastAsia" w:ascii="宋体" w:hAnsi="宋体" w:eastAsia="宋体" w:cs="宋体"/>
          <w:color w:val="000000"/>
          <w:spacing w:val="-2"/>
          <w:sz w:val="24"/>
          <w:szCs w:val="24"/>
          <w:lang w:val="en-US" w:eastAsia="zh-CN"/>
        </w:rPr>
        <w:t xml:space="preserve">约10万元。具体功能如下：</w:t>
      </w:r>
      <w:r/>
    </w:p>
    <w:tbl>
      <w:tblPr>
        <w:tblStyle w:val="839"/>
        <w:tblW w:w="8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80"/>
        <w:gridCol w:w="6377"/>
      </w:tblGrid>
      <w:tr>
        <w:trPr>
          <w:jc w:val="center"/>
        </w:trPr>
        <w:tc>
          <w:tcPr>
            <w:tcW w:w="2380" w:type="dxa"/>
            <w:vAlign w:val="top"/>
            <w:textDirection w:val="lrTb"/>
            <w:noWrap w:val="false"/>
          </w:tcPr>
          <w:p>
            <w:pPr>
              <w:spacing w:after="0" w:line="360" w:lineRule="auto"/>
              <w:rPr>
                <w:rFonts w:hint="default"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违法行为</w:t>
            </w:r>
            <w:r/>
          </w:p>
        </w:tc>
        <w:tc>
          <w:tcPr>
            <w:tcW w:w="6377" w:type="dxa"/>
            <w:vAlign w:val="top"/>
            <w:textDirection w:val="lrTb"/>
            <w:noWrap w:val="false"/>
          </w:tcPr>
          <w:p>
            <w:pPr>
              <w:spacing w:after="0" w:line="360" w:lineRule="auto"/>
              <w:rPr>
                <w:rFonts w:hint="default"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参数</w:t>
            </w:r>
            <w:r/>
          </w:p>
        </w:tc>
      </w:tr>
      <w:tr>
        <w:trPr>
          <w:jc w:val="center"/>
        </w:trPr>
        <w:tc>
          <w:tcPr>
            <w:tcW w:w="2380" w:type="dxa"/>
            <w:vAlign w:val="top"/>
            <w:textDirection w:val="lrTb"/>
            <w:noWrap w:val="false"/>
          </w:tcPr>
          <w:p>
            <w:pPr>
              <w:spacing w:after="0"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非机动车逆行</w:t>
            </w:r>
            <w:r/>
          </w:p>
        </w:tc>
        <w:tc>
          <w:tcPr>
            <w:tcW w:w="6377" w:type="dxa"/>
            <w:vAlign w:val="top"/>
            <w:textDirection w:val="lrTb"/>
            <w:noWrap w:val="false"/>
          </w:tcPr>
          <w:p>
            <w:pPr>
              <w:spacing w:after="0"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对接城区重点逆行的抓拍相机，获取抓拍非机动车违法图片，并实现违法人员的自动人脸识别，人工审核，自动短信+电话提醒，查询处罚等功能</w:t>
            </w:r>
            <w:r/>
          </w:p>
        </w:tc>
      </w:tr>
      <w:tr>
        <w:trPr>
          <w:jc w:val="center"/>
        </w:trPr>
        <w:tc>
          <w:tcPr>
            <w:tcW w:w="2380" w:type="dxa"/>
            <w:vAlign w:val="top"/>
            <w:textDirection w:val="lrTb"/>
            <w:noWrap w:val="false"/>
          </w:tcPr>
          <w:p>
            <w:pPr>
              <w:spacing w:after="0"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非机动车走机动车道</w:t>
            </w:r>
            <w:r/>
          </w:p>
        </w:tc>
        <w:tc>
          <w:tcPr>
            <w:tcW w:w="6377" w:type="dxa"/>
            <w:vAlign w:val="top"/>
            <w:textDirection w:val="lrTb"/>
            <w:noWrap w:val="false"/>
          </w:tcPr>
          <w:p>
            <w:pPr>
              <w:spacing w:after="0" w:line="360" w:lineRule="auto"/>
              <w:rPr>
                <w:rFonts w:hint="default"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对接城区机动车处的抓拍相机，获取抓拍非机动车违法图片，并实现违法人员的自动人脸识别，人工审核，自动短信+电话提醒，查询处罚等功能</w:t>
            </w:r>
            <w:r/>
          </w:p>
        </w:tc>
      </w:tr>
    </w:tbl>
    <w:p>
      <w:pPr>
        <w:pStyle w:val="1096"/>
        <w:numPr>
          <w:ilvl w:val="0"/>
          <w:numId w:val="14"/>
        </w:numPr>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rPr>
        <w:t xml:space="preserve">广域雷达微波检测器（单点自适应系统）技术参数：</w:t>
      </w:r>
      <w:r/>
    </w:p>
    <w:p>
      <w:pPr>
        <w:ind w:firstLine="472"/>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采用广域雷达跟踪和高清视频融合技术，一体化设计，可跟踪256个目标，检测目标的即时位置、即时速度、目标分类、实时排队长度、实时区域状态、多断面的交通流、异常事件等高精度检测及视频可视化；视频像素500万，检测范围：8车道、350米远；同时支持正向或者侧向安装。</w:t>
      </w:r>
      <w:r/>
    </w:p>
    <w:p>
      <w:pPr>
        <w:pStyle w:val="1096"/>
        <w:numPr>
          <w:ilvl w:val="0"/>
          <w:numId w:val="14"/>
        </w:numPr>
        <w:spacing w:line="360" w:lineRule="auto"/>
        <w:rPr>
          <w:rFonts w:hint="eastAsia" w:ascii="宋体" w:hAnsi="宋体" w:eastAsia="宋体" w:cs="宋体"/>
          <w:b/>
          <w:bCs/>
          <w:sz w:val="24"/>
          <w:lang w:eastAsia="zh-CN"/>
        </w:rPr>
      </w:pPr>
      <w:r>
        <w:rPr>
          <w:rFonts w:hint="eastAsia" w:ascii="宋体" w:hAnsi="宋体" w:eastAsia="宋体" w:cs="宋体"/>
          <w:b/>
          <w:bCs/>
          <w:highlight w:val="none"/>
        </w:rPr>
        <w:t xml:space="preserve">行人过街系统技术参数：</w:t>
      </w:r>
      <w:r/>
    </w:p>
    <w:p>
      <w:pPr>
        <w:spacing w:line="360" w:lineRule="auto"/>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8</w:t>
      </w:r>
      <w:r>
        <w:rPr>
          <w:rFonts w:hint="eastAsia" w:ascii="宋体" w:hAnsi="宋体" w:eastAsia="宋体" w:cs="宋体"/>
          <w:b/>
          <w:bCs/>
          <w:sz w:val="24"/>
          <w:highlight w:val="none"/>
          <w:lang w:val="en-US" w:eastAsia="zh-CN"/>
        </w:rPr>
        <w:t xml:space="preserve">.1</w:t>
      </w:r>
      <w:r>
        <w:rPr>
          <w:rFonts w:hint="eastAsia" w:ascii="宋体" w:hAnsi="宋体" w:eastAsia="宋体" w:cs="宋体"/>
          <w:b/>
          <w:bCs/>
          <w:sz w:val="24"/>
          <w:highlight w:val="none"/>
          <w:lang w:eastAsia="zh-CN"/>
        </w:rPr>
        <w:t xml:space="preserve">、交通信号控制机、</w:t>
      </w:r>
      <w:r>
        <w:rPr>
          <w:rFonts w:hint="eastAsia" w:ascii="宋体" w:hAnsi="宋体" w:eastAsia="宋体" w:cs="宋体"/>
          <w:b/>
          <w:bCs/>
          <w:sz w:val="24"/>
          <w:highlight w:val="none"/>
          <w:lang w:val="en-US" w:eastAsia="zh-CN"/>
        </w:rPr>
        <w:t xml:space="preserve">900万电警抓拍单元（核心产品）</w:t>
      </w:r>
      <w:r>
        <w:rPr>
          <w:rFonts w:hint="eastAsia" w:ascii="宋体" w:hAnsi="宋体" w:cs="宋体"/>
          <w:b/>
          <w:bCs/>
          <w:sz w:val="24"/>
          <w:highlight w:val="none"/>
          <w:lang w:val="en-US" w:eastAsia="zh-CN"/>
        </w:rPr>
        <w:t xml:space="preserve">、LED频闪暖光灯及红绿灯信号检测器、室外抱杆箱</w:t>
      </w:r>
      <w:r>
        <w:rPr>
          <w:rFonts w:hint="eastAsia" w:ascii="宋体" w:hAnsi="宋体" w:eastAsia="宋体" w:cs="宋体"/>
          <w:b/>
          <w:bCs/>
          <w:sz w:val="24"/>
          <w:highlight w:val="none"/>
          <w:lang w:val="en-US" w:eastAsia="zh-CN"/>
        </w:rPr>
        <w:t xml:space="preserve">参数</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同</w:t>
      </w:r>
      <w:r>
        <w:rPr>
          <w:rFonts w:hint="eastAsia" w:ascii="宋体" w:hAnsi="宋体" w:cs="宋体"/>
          <w:b/>
          <w:bCs/>
          <w:sz w:val="24"/>
          <w:highlight w:val="none"/>
          <w:lang w:val="en-US" w:eastAsia="zh-CN"/>
        </w:rPr>
        <w:t xml:space="preserve">“</w:t>
      </w:r>
      <w:r>
        <w:rPr>
          <w:rFonts w:hint="eastAsia" w:ascii="宋体" w:hAnsi="宋体" w:eastAsia="宋体" w:cs="宋体"/>
          <w:b/>
          <w:bCs/>
          <w:sz w:val="24"/>
          <w:highlight w:val="none"/>
          <w:lang w:val="en-US" w:eastAsia="zh-CN"/>
        </w:rPr>
        <w:t xml:space="preserve">1.1、集中协调式交通信号控制机、手持式遥控器</w:t>
      </w:r>
      <w:r>
        <w:rPr>
          <w:rFonts w:hint="eastAsia" w:ascii="宋体" w:hAnsi="宋体" w:cs="宋体"/>
          <w:b/>
          <w:bCs/>
          <w:sz w:val="24"/>
          <w:highlight w:val="none"/>
          <w:lang w:val="en-US" w:eastAsia="zh-CN"/>
        </w:rPr>
        <w:t xml:space="preserve">”、“</w:t>
      </w:r>
      <w:r>
        <w:rPr>
          <w:rFonts w:hint="eastAsia" w:ascii="宋体" w:hAnsi="宋体" w:eastAsia="宋体" w:cs="宋体"/>
          <w:b/>
          <w:bCs/>
          <w:sz w:val="24"/>
          <w:highlight w:val="none"/>
          <w:lang w:eastAsia="zh-CN"/>
        </w:rPr>
        <w:t xml:space="preserve">2.1、</w:t>
      </w:r>
      <w:r>
        <w:rPr>
          <w:rFonts w:hint="eastAsia" w:ascii="宋体" w:hAnsi="宋体" w:eastAsia="宋体" w:cs="宋体"/>
          <w:b/>
          <w:bCs/>
          <w:sz w:val="24"/>
          <w:highlight w:val="none"/>
        </w:rPr>
        <w:t xml:space="preserve">900万电警抓拍单元</w:t>
      </w:r>
      <w:r>
        <w:rPr>
          <w:rFonts w:hint="eastAsia" w:ascii="宋体" w:hAnsi="宋体" w:eastAsia="宋体" w:cs="宋体"/>
          <w:b/>
          <w:bCs/>
          <w:sz w:val="24"/>
          <w:highlight w:val="none"/>
          <w:lang w:eastAsia="zh-CN"/>
        </w:rPr>
        <w:t xml:space="preserve">（核心产品）</w:t>
      </w:r>
      <w:r>
        <w:rPr>
          <w:rFonts w:hint="eastAsia" w:ascii="宋体" w:hAnsi="宋体" w:cs="宋体"/>
          <w:b/>
          <w:bCs/>
          <w:sz w:val="24"/>
          <w:highlight w:val="none"/>
          <w:lang w:val="en-US" w:eastAsia="zh-CN"/>
        </w:rPr>
        <w:t xml:space="preserve">”、“2.4、LED频闪补光灯”、“</w:t>
      </w:r>
      <w:r>
        <w:rPr>
          <w:rFonts w:hint="eastAsia" w:ascii="宋体" w:hAnsi="宋体" w:eastAsia="宋体" w:cs="宋体"/>
          <w:b/>
          <w:bCs/>
          <w:color w:val="auto"/>
          <w:sz w:val="24"/>
          <w:highlight w:val="none"/>
          <w:lang w:val="en-US" w:eastAsia="zh-CN"/>
        </w:rPr>
        <w:t xml:space="preserve">2.6</w:t>
      </w:r>
      <w:r>
        <w:rPr>
          <w:rFonts w:hint="eastAsia" w:ascii="宋体" w:hAnsi="宋体" w:eastAsia="宋体" w:cs="宋体"/>
          <w:b/>
          <w:bCs/>
          <w:sz w:val="24"/>
          <w:highlight w:val="none"/>
          <w:lang w:eastAsia="zh-CN"/>
        </w:rPr>
        <w:t xml:space="preserve">、</w:t>
      </w:r>
      <w:r>
        <w:rPr>
          <w:rFonts w:hint="eastAsia" w:ascii="宋体" w:hAnsi="宋体" w:eastAsia="宋体" w:cs="宋体"/>
          <w:b/>
          <w:bCs/>
          <w:color w:val="auto"/>
          <w:sz w:val="24"/>
          <w:highlight w:val="none"/>
          <w:lang w:val="en-US" w:eastAsia="zh-CN"/>
        </w:rPr>
        <w:t xml:space="preserve">红绿灯信号检测器</w:t>
      </w:r>
      <w:r>
        <w:rPr>
          <w:rFonts w:hint="eastAsia" w:ascii="宋体" w:hAnsi="宋体" w:cs="宋体"/>
          <w:b/>
          <w:bCs/>
          <w:sz w:val="24"/>
          <w:highlight w:val="none"/>
          <w:lang w:val="en-US" w:eastAsia="zh-CN"/>
        </w:rPr>
        <w:t xml:space="preserve">”及“</w:t>
      </w:r>
      <w:r>
        <w:rPr>
          <w:rFonts w:hint="eastAsia" w:ascii="宋体" w:hAnsi="宋体" w:eastAsia="宋体" w:cs="宋体"/>
          <w:b/>
          <w:bCs/>
          <w:color w:val="auto"/>
          <w:sz w:val="24"/>
          <w:highlight w:val="none"/>
          <w:lang w:val="en-US" w:eastAsia="zh-CN"/>
        </w:rPr>
        <w:t xml:space="preserve">5.4</w:t>
      </w:r>
      <w:r>
        <w:rPr>
          <w:rFonts w:hint="eastAsia" w:ascii="宋体" w:hAnsi="宋体" w:eastAsia="宋体" w:cs="宋体"/>
          <w:b/>
          <w:bCs/>
          <w:sz w:val="24"/>
          <w:highlight w:val="none"/>
          <w:lang w:eastAsia="zh-CN"/>
        </w:rPr>
        <w:t xml:space="preserve">、</w:t>
      </w:r>
      <w:r>
        <w:rPr>
          <w:rFonts w:hint="eastAsia" w:ascii="宋体" w:hAnsi="宋体" w:eastAsia="宋体" w:cs="宋体"/>
          <w:b/>
          <w:bCs/>
          <w:color w:val="auto"/>
          <w:sz w:val="24"/>
          <w:highlight w:val="none"/>
          <w:lang w:val="en-US" w:eastAsia="zh-CN"/>
        </w:rPr>
        <w:t xml:space="preserve">抱杆箱</w:t>
      </w:r>
      <w:r>
        <w:rPr>
          <w:rFonts w:hint="eastAsia" w:ascii="宋体" w:hAnsi="宋体" w:cs="宋体"/>
          <w:b/>
          <w:bCs/>
          <w:sz w:val="24"/>
          <w:highlight w:val="none"/>
          <w:lang w:val="en-US" w:eastAsia="zh-CN"/>
        </w:rPr>
        <w:t xml:space="preserve">”</w:t>
      </w:r>
      <w:r>
        <w:rPr>
          <w:rFonts w:hint="eastAsia" w:ascii="宋体" w:hAnsi="宋体" w:eastAsia="宋体" w:cs="宋体"/>
          <w:b/>
          <w:bCs/>
          <w:sz w:val="24"/>
          <w:highlight w:val="none"/>
          <w:lang w:val="en-US" w:eastAsia="zh-CN"/>
        </w:rPr>
        <w:t xml:space="preserve">参数</w:t>
      </w:r>
      <w:r/>
    </w:p>
    <w:p>
      <w:pPr>
        <w:pStyle w:val="1096"/>
        <w:spacing w:line="360"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val="en-US" w:eastAsia="zh-CN"/>
        </w:rPr>
        <w:t xml:space="preserve">8.</w:t>
      </w:r>
      <w:r>
        <w:rPr>
          <w:rFonts w:hint="eastAsia" w:cs="宋体"/>
          <w:b/>
          <w:bCs/>
          <w:sz w:val="24"/>
          <w:highlight w:val="none"/>
          <w:lang w:val="en-US" w:eastAsia="zh-CN"/>
        </w:rPr>
        <w:t xml:space="preserve">2</w:t>
      </w:r>
      <w:r>
        <w:rPr>
          <w:rFonts w:hint="eastAsia" w:ascii="宋体" w:hAnsi="宋体" w:eastAsia="宋体" w:cs="宋体"/>
          <w:b/>
          <w:bCs/>
          <w:sz w:val="24"/>
          <w:highlight w:val="none"/>
          <w:lang w:eastAsia="zh-CN"/>
        </w:rPr>
        <w:t xml:space="preserve">、4路智能终端管理盒</w:t>
      </w:r>
      <w:r/>
    </w:p>
    <w:p>
      <w:pPr>
        <w:ind w:firstLine="504"/>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1、内置8个10M/100M自适应以太网口，视频接入模式码流支持180Mbps，卡口合成模式码流支持100Mbps；标配≥4T硬盘；</w:t>
      </w:r>
      <w:r/>
    </w:p>
    <w:p>
      <w:pPr>
        <w:ind w:firstLine="504"/>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2、支持预览界面视频流通道展示相机IP与实时码流大小；</w:t>
      </w:r>
      <w:r/>
    </w:p>
    <w:p>
      <w:pPr>
        <w:ind w:firstLine="504"/>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3、支持将 1/2/3/4 张原始图片进行合成，支持多种合成形状选择，图片顺序可任意修改；支持去除原始图片黑边；</w:t>
      </w:r>
      <w:r/>
    </w:p>
    <w:p>
      <w:pPr>
        <w:ind w:firstLine="504"/>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4、支持硬盘图片和录像配额比例设置，支持盘满循环覆盖；</w:t>
      </w:r>
      <w:r/>
    </w:p>
    <w:p>
      <w:pPr>
        <w:ind w:firstLine="504"/>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5、历史存储数据防删改功能：录像、图片文件无法直接删除，只能通过循环覆盖和硬盘格式化操作；</w:t>
      </w:r>
      <w:r/>
    </w:p>
    <w:p>
      <w:pPr>
        <w:ind w:firstLine="504"/>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6、支持客户端与前端摄像机分别连接该设备的不同网段时，通过端口映射客户端可以跨网段访问前端摄像机并操作配置；</w:t>
      </w:r>
      <w:r/>
    </w:p>
    <w:p>
      <w:pPr>
        <w:ind w:firstLine="504"/>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7、视频接入模式支持不低于12路网络压缩高清视频输入，卡口合成模式支持不低于4路网络压缩高清视频输入；</w:t>
      </w:r>
      <w:r/>
    </w:p>
    <w:p>
      <w:pPr>
        <w:ind w:firstLine="504"/>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8、支持双网卡路由设置，支持展示已添加的路由；</w:t>
      </w:r>
      <w:r/>
    </w:p>
    <w:p>
      <w:pPr>
        <w:ind w:firstLine="504"/>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9、支持对于记录在存储介质上的视（音）频信息，取出的存储介质应能在相同型号的其他设备上正常回放，以保证设备发生故障后记录资料的留存（或复制）；</w:t>
      </w:r>
      <w:r/>
    </w:p>
    <w:p>
      <w:pPr>
        <w:ind w:firstLine="504"/>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10、支持自动注册设置选项，可设置平台地址、端口、子设备ID；</w:t>
      </w:r>
      <w:r/>
    </w:p>
    <w:p>
      <w:pPr>
        <w:ind w:firstLine="504"/>
        <w:jc w:val="left"/>
        <w:keepLines w:val="0"/>
        <w:keepNext w:val="0"/>
        <w:pageBreakBefore w:val="0"/>
        <w:spacing w:line="360" w:lineRule="auto"/>
        <w:widowControl w:val="off"/>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11、▲支持同时对接4个屏幕，支持按通道设置对应的屏号，支持按行驶方向将不同方向的车辆信息发布到不同屏幕上；</w:t>
      </w:r>
      <w:r>
        <w:rPr>
          <w:rFonts w:hint="eastAsia" w:ascii="宋体" w:hAnsi="宋体" w:eastAsia="宋体" w:cs="宋体"/>
          <w:b/>
          <w:bCs/>
          <w:spacing w:val="6"/>
          <w:sz w:val="24"/>
          <w:szCs w:val="24"/>
          <w:highlight w:val="none"/>
          <w:lang w:val="en-US" w:eastAsia="zh-CN"/>
        </w:rPr>
        <w:t xml:space="preserve">（</w:t>
      </w:r>
      <w:r>
        <w:rPr>
          <w:rFonts w:hint="eastAsia" w:ascii="宋体" w:hAnsi="宋体" w:cs="宋体"/>
          <w:b/>
          <w:bCs/>
          <w:spacing w:val="6"/>
          <w:sz w:val="24"/>
          <w:szCs w:val="24"/>
          <w:highlight w:val="none"/>
          <w:lang w:val="en-US" w:eastAsia="zh-CN"/>
        </w:rPr>
        <w:t xml:space="preserve">提供国家认可的检测机构出具的检测报告扫描件</w:t>
      </w:r>
      <w:r>
        <w:rPr>
          <w:rFonts w:hint="eastAsia" w:ascii="宋体" w:hAnsi="宋体" w:eastAsia="宋体" w:cs="宋体"/>
          <w:b/>
          <w:bCs/>
          <w:spacing w:val="6"/>
          <w:sz w:val="24"/>
          <w:szCs w:val="24"/>
          <w:highlight w:val="none"/>
          <w:lang w:val="en-US" w:eastAsia="zh-CN"/>
        </w:rPr>
        <w:t xml:space="preserve">加盖投标人公章）</w:t>
      </w:r>
      <w:r>
        <w:rPr>
          <w:rFonts w:hint="eastAsia" w:ascii="宋体" w:hAnsi="宋体" w:eastAsia="宋体" w:cs="宋体"/>
          <w:spacing w:val="6"/>
          <w:sz w:val="24"/>
          <w:szCs w:val="24"/>
          <w:highlight w:val="none"/>
          <w:lang w:val="en-US" w:eastAsia="zh-CN"/>
        </w:rPr>
        <w:t xml:space="preserve">  </w:t>
      </w:r>
      <w:r/>
    </w:p>
    <w:p>
      <w:pPr>
        <w:ind w:firstLine="504"/>
        <w:jc w:val="left"/>
        <w:keepLines w:val="0"/>
        <w:keepNext w:val="0"/>
        <w:pageBreakBefore w:val="0"/>
        <w:spacing w:line="360" w:lineRule="auto"/>
        <w:widowControl w:val="off"/>
        <w:rPr>
          <w:rFonts w:hint="eastAsia" w:ascii="宋体" w:hAnsi="宋体" w:eastAsia="宋体" w:cs="宋体"/>
          <w:b/>
          <w:bCs/>
          <w:sz w:val="24"/>
          <w:highlight w:val="none"/>
          <w:lang w:val="en-US" w:eastAsia="zh-CN"/>
        </w:rPr>
      </w:pPr>
      <w:r>
        <w:rPr>
          <w:rFonts w:hint="eastAsia" w:ascii="宋体" w:hAnsi="宋体" w:eastAsia="宋体" w:cs="宋体"/>
          <w:spacing w:val="6"/>
          <w:sz w:val="24"/>
          <w:szCs w:val="24"/>
          <w:highlight w:val="none"/>
          <w:lang w:val="en-US" w:eastAsia="zh-CN"/>
        </w:rPr>
        <w:t xml:space="preserve">12、▲支持启用自定义发布，在等待时间内无过车则发布自定义信息，设置等待时间、自定义发布时间段及显示内容，可设置多区域，各区域可独立配置显示风格、每页停留时间、移动速度、字体颜色、显示内容，字体大小。</w:t>
      </w:r>
      <w:r>
        <w:rPr>
          <w:rFonts w:hint="eastAsia" w:ascii="宋体" w:hAnsi="宋体" w:eastAsia="宋体" w:cs="宋体"/>
          <w:b/>
          <w:bCs/>
          <w:spacing w:val="6"/>
          <w:sz w:val="24"/>
          <w:szCs w:val="24"/>
          <w:highlight w:val="none"/>
          <w:lang w:val="en-US" w:eastAsia="zh-CN"/>
        </w:rPr>
        <w:t xml:space="preserve">（</w:t>
      </w:r>
      <w:r>
        <w:rPr>
          <w:rFonts w:hint="eastAsia" w:ascii="宋体" w:hAnsi="宋体" w:cs="宋体"/>
          <w:b/>
          <w:bCs/>
          <w:spacing w:val="6"/>
          <w:sz w:val="24"/>
          <w:szCs w:val="24"/>
          <w:highlight w:val="none"/>
          <w:lang w:val="en-US" w:eastAsia="zh-CN"/>
        </w:rPr>
        <w:t xml:space="preserve">提供国家认可的检测机构出具的检测报告扫描件</w:t>
      </w:r>
      <w:r>
        <w:rPr>
          <w:rFonts w:hint="eastAsia" w:ascii="宋体" w:hAnsi="宋体" w:eastAsia="宋体" w:cs="宋体"/>
          <w:b/>
          <w:bCs/>
          <w:spacing w:val="6"/>
          <w:sz w:val="24"/>
          <w:szCs w:val="24"/>
          <w:highlight w:val="none"/>
          <w:lang w:val="en-US" w:eastAsia="zh-CN"/>
        </w:rPr>
        <w:t xml:space="preserve">加盖投标人公章）</w:t>
      </w:r>
      <w:r/>
    </w:p>
    <w:p>
      <w:pPr>
        <w:pStyle w:val="1096"/>
        <w:spacing w:line="360" w:lineRule="auto"/>
        <w:rPr>
          <w:rFonts w:hint="eastAsia" w:cs="宋体"/>
          <w:b/>
          <w:bCs/>
          <w:sz w:val="24"/>
          <w:highlight w:val="none"/>
          <w:lang w:eastAsia="zh-CN"/>
        </w:rPr>
      </w:pPr>
      <w:r>
        <w:rPr>
          <w:rFonts w:hint="eastAsia" w:ascii="宋体" w:hAnsi="宋体" w:eastAsia="宋体" w:cs="宋体"/>
          <w:b/>
          <w:bCs/>
          <w:sz w:val="24"/>
          <w:highlight w:val="none"/>
          <w:lang w:val="en-US" w:eastAsia="zh-CN"/>
        </w:rPr>
        <w:t xml:space="preserve">8.</w:t>
      </w:r>
      <w:r>
        <w:rPr>
          <w:rFonts w:hint="eastAsia" w:cs="宋体"/>
          <w:b/>
          <w:bCs/>
          <w:sz w:val="24"/>
          <w:highlight w:val="none"/>
          <w:lang w:val="en-US" w:eastAsia="zh-CN"/>
        </w:rPr>
        <w:t xml:space="preserve">3</w:t>
      </w:r>
      <w:r>
        <w:rPr>
          <w:rFonts w:hint="eastAsia" w:ascii="宋体" w:hAnsi="宋体" w:eastAsia="宋体" w:cs="宋体"/>
          <w:b/>
          <w:bCs/>
          <w:sz w:val="24"/>
          <w:highlight w:val="none"/>
          <w:lang w:eastAsia="zh-CN"/>
        </w:rPr>
        <w:t xml:space="preserve">、交通信号灯</w:t>
      </w:r>
      <w:r/>
    </w:p>
    <w:p>
      <w:pPr>
        <w:ind w:firstLine="504"/>
        <w:jc w:val="left"/>
        <w:spacing w:line="360" w:lineRule="auto"/>
        <w:rPr>
          <w:rFonts w:hint="eastAsia" w:ascii="Calibri" w:hAnsi="Calibri" w:eastAsia="宋体" w:cs="Times New Roman"/>
          <w:spacing w:val="6"/>
          <w:sz w:val="24"/>
          <w:szCs w:val="24"/>
          <w:highlight w:val="none"/>
          <w:lang w:val="en-US" w:eastAsia="zh-CN"/>
        </w:rPr>
      </w:pPr>
      <w:r>
        <w:rPr>
          <w:rFonts w:hint="eastAsia" w:ascii="Calibri" w:hAnsi="Calibri" w:eastAsia="宋体" w:cs="Times New Roman"/>
          <w:spacing w:val="6"/>
          <w:sz w:val="24"/>
          <w:szCs w:val="24"/>
          <w:highlight w:val="none"/>
          <w:lang w:val="en-US" w:eastAsia="zh-CN"/>
        </w:rPr>
        <w:t xml:space="preserve">机动车灯盘采用￠400型圆盘灯，超高亮发光二极管制造；考虑到学校门口路段实际地形因素，本批次信号灯现场安装根据现场设置情况选择“一体化立柱灯”。</w:t>
      </w:r>
      <w:r/>
    </w:p>
    <w:p>
      <w:pPr>
        <w:ind w:firstLine="504"/>
        <w:jc w:val="left"/>
        <w:spacing w:line="360" w:lineRule="auto"/>
        <w:rPr>
          <w:rFonts w:hint="eastAsia" w:ascii="宋体" w:hAnsi="宋体" w:cs="宋体"/>
          <w:b/>
          <w:bCs/>
          <w:sz w:val="24"/>
          <w:szCs w:val="24"/>
          <w:highlight w:val="none"/>
          <w:lang w:val="en-US" w:eastAsia="zh-CN"/>
        </w:rPr>
      </w:pPr>
      <w:r>
        <w:rPr>
          <w:rFonts w:hint="eastAsia" w:ascii="Calibri" w:hAnsi="Calibri" w:eastAsia="宋体" w:cs="Times New Roman"/>
          <w:spacing w:val="6"/>
          <w:sz w:val="24"/>
          <w:szCs w:val="24"/>
          <w:highlight w:val="none"/>
          <w:lang w:val="en-US" w:eastAsia="zh-CN"/>
        </w:rPr>
        <w:t xml:space="preserve">★信号灯需通过符合GB14887-2011《道路交通信号灯》中强制性项目的检测要求，达到合格标准。</w:t>
      </w:r>
      <w:r/>
    </w:p>
    <w:p>
      <w:pPr>
        <w:numPr>
          <w:ilvl w:val="0"/>
          <w:numId w:val="0"/>
        </w:numPr>
        <w:jc w:val="both"/>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（1）</w:t>
      </w:r>
      <w:r>
        <w:rPr>
          <w:rFonts w:hint="eastAsia" w:ascii="宋体" w:hAnsi="宋体" w:cs="宋体"/>
          <w:b/>
          <w:bCs/>
          <w:sz w:val="22"/>
          <w:szCs w:val="22"/>
          <w:highlight w:val="none"/>
          <w:lang w:val="en-US" w:eastAsia="zh-CN"/>
        </w:rPr>
        <w:t xml:space="preserve">机动车交通信号灯（一体化立柱灯）</w:t>
      </w:r>
      <w:r/>
    </w:p>
    <w:tbl>
      <w:tblPr>
        <w:tblStyle w:val="813"/>
        <w:tblW w:w="925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59"/>
      </w:tblGrid>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A、灯具性能参数：</w:t>
            </w:r>
            <w:r/>
          </w:p>
        </w:tc>
      </w:tr>
      <w:tr>
        <w:trPr>
          <w:trHeight w:val="482"/>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1、透光镜面：</w:t>
            </w:r>
            <w:r>
              <w:rPr>
                <w:rStyle w:val="1137"/>
                <w:rFonts w:hint="eastAsia" w:ascii="宋体" w:hAnsi="宋体" w:eastAsia="宋体" w:cs="宋体"/>
                <w:sz w:val="22"/>
                <w:szCs w:val="22"/>
                <w:highlight w:val="none"/>
                <w:lang w:val="en-US" w:eastAsia="zh-CN" w:bidi="ar"/>
              </w:rPr>
              <w:t xml:space="preserve">¢400；材质：PC塑料或铝材压铸；颜色：黑色；</w:t>
            </w:r>
            <w:r/>
          </w:p>
        </w:tc>
      </w:tr>
      <w:tr>
        <w:trPr>
          <w:trHeight w:val="484"/>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2、内容：红黄绿三色满屏灯分屏幕显示、最下面为倒计时器，从上到下呈四联架构；</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3、色度：红色（620-625）、黄色（585-590）、绿色（504-508）；</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4、光源：采用超高亮度LED；工作电源：187V-253V  50Hz；额定功率：小于25W；</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5、环境温度：-40℃~+80℃；相对湿度：≤95%；防护等级：IP54 ；</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6、可靠性：MTBF≥10000小时；可维护性：MTTR≤0.5小时；使用寿命：＞50000小时；</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Calibri" w:hAnsi="Calibri" w:eastAsia="宋体" w:cs="Times New Roman"/>
                <w:spacing w:val="6"/>
                <w:sz w:val="24"/>
              </w:rPr>
              <w:t xml:space="preserve">★</w:t>
            </w:r>
            <w:r>
              <w:rPr>
                <w:rFonts w:hint="eastAsia" w:ascii="宋体" w:hAnsi="宋体" w:eastAsia="宋体" w:cs="宋体"/>
                <w:i w:val="0"/>
                <w:iCs w:val="0"/>
                <w:color w:val="000000"/>
                <w:sz w:val="22"/>
                <w:szCs w:val="22"/>
                <w:highlight w:val="none"/>
                <w:u w:val="none"/>
                <w:lang w:val="en-US" w:eastAsia="zh-CN" w:bidi="ar"/>
              </w:rPr>
              <w:t xml:space="preserve">符合标准：</w:t>
            </w:r>
            <w:r>
              <w:rPr>
                <w:rFonts w:hint="eastAsia" w:ascii="宋体" w:hAnsi="宋体" w:eastAsia="宋体" w:cs="宋体"/>
                <w:i w:val="0"/>
                <w:iCs w:val="0"/>
                <w:color w:val="auto"/>
                <w:sz w:val="22"/>
                <w:szCs w:val="22"/>
                <w:highlight w:val="none"/>
                <w:u w:val="none"/>
                <w:lang w:val="en-US" w:eastAsia="zh-CN" w:bidi="ar"/>
              </w:rPr>
              <w:t xml:space="preserve">《道路交通信号灯》（GB14887-2011）</w:t>
            </w:r>
            <w:r>
              <w:rPr>
                <w:rFonts w:hint="eastAsia" w:ascii="宋体" w:hAnsi="宋体" w:eastAsia="宋体" w:cs="宋体"/>
                <w:i w:val="0"/>
                <w:iCs w:val="0"/>
                <w:color w:val="000000"/>
                <w:sz w:val="22"/>
                <w:szCs w:val="22"/>
                <w:highlight w:val="none"/>
                <w:u w:val="none"/>
                <w:lang w:val="en-US" w:eastAsia="zh-CN" w:bidi="ar"/>
              </w:rPr>
              <w:t xml:space="preserve">；</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8、控制：手动按钮，实现手动触发型控制（定制）；</w:t>
            </w:r>
            <w:r/>
          </w:p>
        </w:tc>
      </w:tr>
      <w:tr>
        <w:trPr>
          <w:trHeight w:val="727"/>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numPr>
                <w:ilvl w:val="0"/>
                <w:numId w:val="0"/>
              </w:numPr>
              <w:jc w:val="left"/>
              <w:keepLines w:val="0"/>
              <w:keepNext w:val="0"/>
              <w:pageBreakBefore w:val="0"/>
              <w:spacing w:line="440" w:lineRule="exact"/>
              <w:widowControl/>
              <w:rPr>
                <w:rFonts w:hint="eastAsia" w:ascii="宋体" w:hAnsi="宋体" w:eastAsia="宋体" w:cs="宋体"/>
                <w:color w:val="000000"/>
                <w:sz w:val="22"/>
                <w:szCs w:val="22"/>
                <w:highlight w:val="none"/>
                <w:lang w:val="en-US" w:eastAsia="zh-CN"/>
              </w:rPr>
              <w:outlineLvl w:val="9"/>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color w:val="000000"/>
                <w:sz w:val="22"/>
                <w:szCs w:val="22"/>
                <w:highlight w:val="none"/>
                <w:lang w:val="en-US" w:eastAsia="zh-CN"/>
              </w:rPr>
              <w:t xml:space="preserve">9、单灯功率及功率因数：</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color w:val="000000"/>
                <w:sz w:val="22"/>
                <w:szCs w:val="22"/>
                <w:highlight w:val="none"/>
                <w:lang w:val="en-US" w:eastAsia="zh-CN"/>
              </w:rPr>
              <w:t xml:space="preserve">【圆盘灯】功率：红色</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16W、黄色</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16W、绿色</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16W； 功率因数：红、黄、绿色均≥0.90</w:t>
            </w:r>
            <w:r>
              <w:rPr>
                <w:rFonts w:hint="eastAsia" w:ascii="宋体" w:hAnsi="宋体" w:eastAsia="宋体" w:cs="宋体"/>
                <w:b/>
                <w:bCs/>
                <w:color w:val="000000"/>
                <w:sz w:val="22"/>
                <w:szCs w:val="22"/>
                <w:highlight w:val="none"/>
                <w:lang w:val="en-US" w:eastAsia="zh-CN"/>
              </w:rPr>
              <w:t xml:space="preserve">；</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color w:val="000000"/>
                <w:sz w:val="22"/>
                <w:szCs w:val="22"/>
                <w:highlight w:val="none"/>
                <w:lang w:val="en-US" w:eastAsia="zh-CN"/>
              </w:rPr>
              <w:t xml:space="preserve">LED数量：（圆盘灯）红、黄LED数量不少于120支、绿色不少于108支；</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ind w:left="0" w:firstLine="0"/>
              <w:jc w:val="left"/>
              <w:keepLines w:val="0"/>
              <w:keepNext w:val="0"/>
              <w:pageBreakBefore w:val="0"/>
              <w:spacing w:line="440" w:lineRule="exact"/>
              <w:widowControl/>
              <w:rPr>
                <w:rFonts w:hint="eastAsia" w:ascii="宋体" w:hAnsi="宋体" w:eastAsia="宋体" w:cs="宋体"/>
                <w:color w:val="000000"/>
                <w:sz w:val="22"/>
                <w:szCs w:val="22"/>
                <w:highlight w:val="none"/>
                <w:lang w:val="en-US" w:eastAsia="zh-CN" w:bidi="ar-SA"/>
              </w:rPr>
              <w:outlineLvl w:val="9"/>
            </w:pPr>
            <w:r>
              <w:rPr>
                <w:rFonts w:hint="eastAsia" w:ascii="宋体" w:hAnsi="宋体" w:eastAsia="宋体" w:cs="宋体"/>
                <w:color w:val="000000"/>
                <w:sz w:val="22"/>
                <w:szCs w:val="22"/>
                <w:highlight w:val="none"/>
                <w:lang w:val="en-US" w:eastAsia="zh-CN"/>
              </w:rPr>
              <w:t xml:space="preserve">11、LED参数：光强：红、黄色≥6000mcd；绿色≥10000mcd；</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ind w:left="0" w:firstLine="0"/>
              <w:jc w:val="left"/>
              <w:keepLines w:val="0"/>
              <w:keepNext w:val="0"/>
              <w:pageBreakBefore w:val="0"/>
              <w:spacing w:line="440" w:lineRule="exact"/>
              <w:widowControl/>
              <w:rPr>
                <w:rFonts w:hint="eastAsia" w:ascii="宋体" w:hAnsi="宋体" w:eastAsia="宋体" w:cs="宋体"/>
                <w:color w:val="000000"/>
                <w:sz w:val="22"/>
                <w:szCs w:val="22"/>
                <w:highlight w:val="none"/>
                <w:lang w:val="en-US" w:eastAsia="zh-CN" w:bidi="ar-SA"/>
              </w:rPr>
              <w:outlineLvl w:val="9"/>
            </w:pPr>
            <w:r>
              <w:rPr>
                <w:rFonts w:hint="eastAsia" w:ascii="宋体" w:hAnsi="宋体" w:eastAsia="宋体" w:cs="宋体"/>
                <w:color w:val="000000"/>
                <w:sz w:val="22"/>
                <w:szCs w:val="22"/>
                <w:highlight w:val="none"/>
                <w:lang w:val="en-US" w:eastAsia="zh-CN"/>
              </w:rPr>
              <w:t xml:space="preserve">12、波长：红625nm、黄590nm、绿505nm；</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ind w:left="0" w:firstLine="0"/>
              <w:jc w:val="left"/>
              <w:keepLines w:val="0"/>
              <w:keepNext w:val="0"/>
              <w:pageBreakBefore w:val="0"/>
              <w:spacing w:line="440" w:lineRule="exact"/>
              <w:widowControl/>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13</w:t>
            </w:r>
            <w:r>
              <w:rPr>
                <w:rFonts w:hint="eastAsia" w:ascii="宋体" w:hAnsi="宋体" w:eastAsia="宋体" w:cs="宋体"/>
                <w:color w:val="auto"/>
                <w:sz w:val="22"/>
                <w:szCs w:val="22"/>
                <w:highlight w:val="none"/>
              </w:rPr>
              <w:t xml:space="preserve">、防尘：信号灯的防尘等级应不低于GB4208中规定的IP5X，即防尘。试验后，信号灯应承受介电强度试验，并且信号灯壳体内应无滑石粉沉积，发光单元内应无滑石粉痕迹；</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ind w:left="0" w:firstLine="0"/>
              <w:jc w:val="left"/>
              <w:keepLines w:val="0"/>
              <w:keepNext w:val="0"/>
              <w:pageBreakBefore w:val="0"/>
              <w:spacing w:line="440" w:lineRule="exact"/>
              <w:widowControl/>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14</w:t>
            </w:r>
            <w:r>
              <w:rPr>
                <w:rFonts w:hint="eastAsia" w:ascii="宋体" w:hAnsi="宋体" w:eastAsia="宋体" w:cs="宋体"/>
                <w:color w:val="auto"/>
                <w:sz w:val="22"/>
                <w:szCs w:val="22"/>
                <w:highlight w:val="none"/>
              </w:rPr>
              <w:t xml:space="preserve">、抗振动：信号灯在额定电压下以正常工作状态固定在振动台上，对其进行前后、左右、上下方向上的振动每个方向振动20个周期。试验中及试验后，信号灯应能正常工作，紧固部件应无松动，无机械损伤，无电器接触不良现象；</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B、杆体性能参数：</w:t>
            </w:r>
            <w:r/>
          </w:p>
        </w:tc>
      </w:tr>
      <w:tr>
        <w:trPr>
          <w:trHeight w:val="44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1、组成：5.2米型材、板材钢结构+镀锌钢板组成（铝合金侧槽可选）；</w:t>
            </w:r>
            <w:r/>
          </w:p>
        </w:tc>
      </w:tr>
      <w:tr>
        <w:trPr>
          <w:trHeight w:val="44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2、焊接表面光滑，无堆焊、无气孔、无咬边，无影响强度的裂纹、夹渣、焊瘤、毛刺、漏焊、烧穿及褶皱现象；</w:t>
            </w:r>
            <w:r/>
          </w:p>
        </w:tc>
      </w:tr>
      <w:tr>
        <w:trPr>
          <w:trHeight w:val="44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3、立杆与底法兰连接处采用双面焊接,内焊加强筋；</w:t>
            </w:r>
            <w:r/>
          </w:p>
        </w:tc>
      </w:tr>
      <w:tr>
        <w:trPr>
          <w:trHeight w:val="576"/>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4、杆件经前处理后整体热浸镀锌，当基材厚度≤5mm时，锌层厚度≥65μm；当基材厚度≥5mm时，锌层厚度≥86μm，表面无发黑、粗糙、流痕、锌粒、锌渣现象；</w:t>
            </w:r>
            <w:r/>
          </w:p>
        </w:tc>
      </w:tr>
      <w:tr>
        <w:trPr>
          <w:trHeight w:val="6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5、杆件外表面热镀锌后抛光打磨，并采用优质室外耐候性纯聚酯粉末，经静电喷涂；要求表面颜色一致、光滑、无微粒、无桔皮现象，塑层平均厚度在70µｍ以上，无粉化、脱落、剥离现象；</w:t>
            </w:r>
            <w:r/>
          </w:p>
        </w:tc>
      </w:tr>
      <w:tr>
        <w:trPr>
          <w:trHeight w:val="4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6、喷涂颜色根据客户实际需要确定；</w:t>
            </w:r>
            <w:r/>
          </w:p>
        </w:tc>
      </w:tr>
    </w:tbl>
    <w:p>
      <w:pPr>
        <w:numPr>
          <w:ilvl w:val="0"/>
          <w:numId w:val="0"/>
        </w:numPr>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numPr>
          <w:ilvl w:val="0"/>
          <w:numId w:val="0"/>
        </w:numPr>
        <w:jc w:val="both"/>
        <w:rPr>
          <w:rFonts w:hint="eastAsia"/>
          <w:highlight w:val="none"/>
          <w:lang w:val="en-US" w:eastAsia="zh-CN"/>
        </w:rPr>
      </w:pPr>
      <w:r>
        <w:rPr>
          <w:rFonts w:hint="eastAsia" w:ascii="宋体" w:hAnsi="宋体" w:cs="宋体"/>
          <w:b/>
          <w:bCs/>
          <w:sz w:val="24"/>
          <w:szCs w:val="24"/>
          <w:highlight w:val="none"/>
          <w:lang w:val="en-US" w:eastAsia="zh-CN"/>
        </w:rPr>
        <w:t xml:space="preserve">（2）</w:t>
      </w:r>
      <w:r>
        <w:rPr>
          <w:rFonts w:hint="eastAsia" w:ascii="宋体" w:hAnsi="宋体" w:eastAsia="宋体" w:cs="宋体"/>
          <w:b/>
          <w:bCs/>
          <w:sz w:val="22"/>
          <w:szCs w:val="22"/>
          <w:highlight w:val="none"/>
          <w:lang w:val="en-US" w:eastAsia="zh-CN"/>
        </w:rPr>
        <w:t xml:space="preserve">“申请式”行人过街信号系统</w:t>
      </w:r>
      <w:r/>
    </w:p>
    <w:tbl>
      <w:tblPr>
        <w:tblStyle w:val="813"/>
        <w:tblW w:w="925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59"/>
      </w:tblGrid>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A、灯具性能参数：</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1、透光镜面：</w:t>
            </w:r>
            <w:r>
              <w:rPr>
                <w:rStyle w:val="1137"/>
                <w:rFonts w:hint="eastAsia" w:ascii="宋体" w:hAnsi="宋体" w:eastAsia="宋体" w:cs="宋体"/>
                <w:sz w:val="22"/>
                <w:szCs w:val="22"/>
                <w:highlight w:val="none"/>
                <w:lang w:val="en-US" w:eastAsia="zh-CN" w:bidi="ar"/>
              </w:rPr>
              <w:t xml:space="preserve">¢300；材质：PC塑料或铝材压铸；颜色：黑色；</w:t>
            </w:r>
            <w:r/>
          </w:p>
        </w:tc>
      </w:tr>
      <w:tr>
        <w:trPr>
          <w:trHeight w:val="9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2、内容：行人图案，2灯，上灯红人静止复合绿倒计时，下灯绿人动态复合红倒计时；</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3、色度：红色（620-625），绿色（504-508）；</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4、光源：采用超高亮度LED；工作电源：187V-253V  50Hz；额定功率：小于10W；</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5、环境温度：-40℃~+80℃；相对湿度：≤95%；防护等级：IP54 ；</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6、可靠性：MTBF≥10000小时；可维护性：MTTR≤0.5小时；使用寿命：＞50000小时；</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Calibri" w:hAnsi="Calibri" w:eastAsia="宋体" w:cs="Times New Roman"/>
                <w:spacing w:val="6"/>
                <w:sz w:val="24"/>
              </w:rPr>
              <w:t xml:space="preserve">★</w:t>
            </w:r>
            <w:r>
              <w:rPr>
                <w:rFonts w:hint="eastAsia" w:ascii="宋体" w:hAnsi="宋体" w:eastAsia="宋体" w:cs="宋体"/>
                <w:i w:val="0"/>
                <w:iCs w:val="0"/>
                <w:color w:val="000000"/>
                <w:sz w:val="22"/>
                <w:szCs w:val="22"/>
                <w:highlight w:val="none"/>
                <w:u w:val="none"/>
                <w:lang w:val="en-US" w:eastAsia="zh-CN" w:bidi="ar"/>
              </w:rPr>
              <w:t xml:space="preserve">符合标准：</w:t>
            </w:r>
            <w:r>
              <w:rPr>
                <w:rFonts w:hint="eastAsia" w:ascii="宋体" w:hAnsi="宋体" w:eastAsia="宋体" w:cs="宋体"/>
                <w:i w:val="0"/>
                <w:iCs w:val="0"/>
                <w:color w:val="auto"/>
                <w:sz w:val="22"/>
                <w:szCs w:val="22"/>
                <w:highlight w:val="none"/>
                <w:u w:val="none"/>
                <w:lang w:val="en-US" w:eastAsia="zh-CN" w:bidi="ar"/>
              </w:rPr>
              <w:t xml:space="preserve">《道路交通信号灯》（GB14887-2011）</w:t>
            </w:r>
            <w:r>
              <w:rPr>
                <w:rFonts w:hint="eastAsia" w:ascii="宋体" w:hAnsi="宋体" w:eastAsia="宋体" w:cs="宋体"/>
                <w:i w:val="0"/>
                <w:iCs w:val="0"/>
                <w:color w:val="000000"/>
                <w:sz w:val="22"/>
                <w:szCs w:val="22"/>
                <w:highlight w:val="none"/>
                <w:u w:val="none"/>
                <w:lang w:val="en-US" w:eastAsia="zh-CN" w:bidi="ar"/>
              </w:rPr>
              <w:t xml:space="preserve">；</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8、控制：手动按钮，实现手动触发型控制；</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B、杆体性能参数：</w:t>
            </w:r>
            <w:r/>
          </w:p>
        </w:tc>
      </w:tr>
      <w:tr>
        <w:trPr>
          <w:trHeight w:val="44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1、组成：3.5米型材、板材钢结构+镀锌钢板组成（铝合金侧槽可选）；</w:t>
            </w:r>
            <w:r/>
          </w:p>
        </w:tc>
      </w:tr>
      <w:tr>
        <w:trPr>
          <w:trHeight w:val="44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2、焊接表面光滑，无堆焊、无气孔、无咬边，无影响强度的裂纹、夹渣、焊瘤、毛刺、漏焊、烧穿及褶皱现象；</w:t>
            </w:r>
            <w:r/>
          </w:p>
        </w:tc>
      </w:tr>
      <w:tr>
        <w:trPr>
          <w:trHeight w:val="44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3、立杆与底法兰连接处采用双面焊接,内焊加强筋；</w:t>
            </w:r>
            <w:r/>
          </w:p>
        </w:tc>
      </w:tr>
      <w:tr>
        <w:trPr>
          <w:trHeight w:val="576"/>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4、杆件经前处理后整体热浸镀锌，当基材厚度≤5mm时，锌层厚度≥65μm；当基材厚度≥5mm时，锌层厚度≥86μm，表面无发黑、粗糙、流痕、锌粒、锌渣现象；</w:t>
            </w:r>
            <w:r/>
          </w:p>
        </w:tc>
      </w:tr>
      <w:tr>
        <w:trPr>
          <w:trHeight w:val="6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5、杆件外表面热镀锌后抛光打磨，并采用优质室外耐候性纯聚酯粉末，经静电喷涂；要求表面颜色一致、光滑、无微粒、无桔皮现象，塑层平均厚度在70µｍ以上，无粉化、脱落、剥离现象；</w:t>
            </w:r>
            <w:r/>
          </w:p>
        </w:tc>
      </w:tr>
      <w:tr>
        <w:trPr>
          <w:trHeight w:val="4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6、喷涂颜色根据客户实际需要确定；</w:t>
            </w:r>
            <w:r/>
          </w:p>
        </w:tc>
      </w:tr>
      <w:tr>
        <w:trPr>
          <w:trHeight w:val="4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C、功能参数</w:t>
            </w:r>
            <w:r/>
          </w:p>
        </w:tc>
      </w:tr>
      <w:tr>
        <w:trPr>
          <w:trHeight w:val="4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1、支持交通信号智能控制常规功能；</w:t>
            </w:r>
            <w:r/>
          </w:p>
        </w:tc>
      </w:tr>
      <w:tr>
        <w:trPr>
          <w:trHeight w:val="4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2、支持根据路口、路段通行状况进行特殊管控功能；</w:t>
            </w:r>
            <w:r/>
          </w:p>
        </w:tc>
      </w:tr>
      <w:tr>
        <w:trPr>
          <w:trHeight w:val="4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pageBreakBefore w:val="0"/>
              <w:spacing w:line="240" w:lineRule="auto"/>
              <w:widowControl w:val="off"/>
              <w:rPr>
                <w:rFonts w:hint="default" w:ascii="宋体" w:hAnsi="宋体" w:eastAsia="宋体" w:cs="宋体"/>
                <w:i w:val="0"/>
                <w:iCs w:val="0"/>
                <w:color w:val="ff0000"/>
                <w:sz w:val="21"/>
                <w:szCs w:val="21"/>
                <w:highlight w:val="none"/>
                <w:u w:val="none"/>
                <w:lang w:val="en-US" w:eastAsia="zh-CN" w:bidi="ar"/>
              </w:rPr>
              <w:outlineLvl w:val="9"/>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现场配</w:t>
            </w:r>
            <w:r>
              <w:rPr>
                <w:rFonts w:hint="eastAsia" w:ascii="宋体" w:hAnsi="宋体" w:eastAsia="宋体" w:cs="宋体"/>
                <w:color w:val="auto"/>
                <w:sz w:val="21"/>
                <w:szCs w:val="21"/>
                <w:highlight w:val="none"/>
              </w:rPr>
              <w:t xml:space="preserve">置方式灵活：</w:t>
            </w:r>
            <w:r>
              <w:rPr>
                <w:rFonts w:hint="eastAsia" w:ascii="宋体" w:hAnsi="宋体" w:eastAsia="宋体" w:cs="宋体"/>
                <w:color w:val="auto"/>
                <w:sz w:val="21"/>
                <w:szCs w:val="21"/>
                <w:highlight w:val="none"/>
                <w:u w:val="none"/>
              </w:rPr>
              <w:t xml:space="preserve">支持基于平板或手提电脑等的智能交通信号控制配置</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lang w:val="en-US" w:eastAsia="zh-CN"/>
              </w:rPr>
              <w:t xml:space="preserve">实现交通信号控制</w:t>
            </w:r>
            <w:r>
              <w:rPr>
                <w:rFonts w:hint="eastAsia" w:ascii="宋体" w:hAnsi="宋体" w:eastAsia="宋体" w:cs="宋体"/>
                <w:color w:val="auto"/>
                <w:sz w:val="21"/>
                <w:szCs w:val="21"/>
                <w:highlight w:val="none"/>
              </w:rPr>
              <w:t xml:space="preserve">。</w:t>
            </w:r>
            <w:r/>
          </w:p>
        </w:tc>
      </w:tr>
      <w:tr>
        <w:trPr>
          <w:trHeight w:val="4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pageBreakBefore w:val="0"/>
              <w:widowControl/>
              <w:rPr>
                <w:rFonts w:hint="default"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支持接入交通信号中心控制；</w:t>
            </w:r>
            <w:r/>
          </w:p>
        </w:tc>
      </w:tr>
    </w:tbl>
    <w:p>
      <w:pPr>
        <w:numPr>
          <w:ilvl w:val="0"/>
          <w:numId w:val="0"/>
        </w:numPr>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numPr>
          <w:ilvl w:val="0"/>
          <w:numId w:val="0"/>
        </w:numPr>
        <w:jc w:val="both"/>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2"/>
          <w:szCs w:val="22"/>
          <w:highlight w:val="none"/>
          <w:lang w:val="en-US" w:eastAsia="zh-CN"/>
        </w:rPr>
        <w:t xml:space="preserve">监控悬臂式八角锥形杆件（6M\9M）</w:t>
      </w:r>
      <w:r/>
    </w:p>
    <w:tbl>
      <w:tblPr>
        <w:tblStyle w:val="813"/>
        <w:tblW w:w="924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48"/>
      </w:tblGrid>
      <w:tr>
        <w:trPr>
          <w:trHeight w:val="50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监控类杆件基本要求：</w:t>
            </w:r>
            <w:r/>
          </w:p>
        </w:tc>
      </w:tr>
      <w:tr>
        <w:trPr>
          <w:trHeight w:val="418"/>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1、主杆与横杆通过法兰连接，连接螺丝采用热镀锌材质，强度</w:t>
            </w:r>
            <w:r>
              <w:rPr>
                <w:rFonts w:hint="eastAsia" w:ascii="宋体" w:hAnsi="宋体" w:eastAsia="宋体" w:cs="宋体"/>
                <w:i w:val="0"/>
                <w:iCs w:val="0"/>
                <w:color w:val="000000"/>
                <w:sz w:val="22"/>
                <w:szCs w:val="22"/>
                <w:highlight w:val="none"/>
                <w:u w:val="none"/>
                <w:lang w:val="en-US" w:eastAsia="en-US" w:bidi="ar"/>
              </w:rPr>
              <w:t xml:space="preserve">8.8级；</w:t>
            </w:r>
            <w:r/>
          </w:p>
        </w:tc>
      </w:tr>
      <w:tr>
        <w:trPr>
          <w:trHeight w:val="50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2、杆件要求热镀锌喷塑，要求为白色；</w:t>
            </w:r>
            <w:r/>
          </w:p>
        </w:tc>
      </w:tr>
      <w:tr>
        <w:trPr>
          <w:trHeight w:val="50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3、横杆要求冷弯，弯曲地方不许采用焊接连接；</w:t>
            </w:r>
            <w:r/>
          </w:p>
        </w:tc>
      </w:tr>
      <w:tr>
        <w:trPr>
          <w:trHeight w:val="50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4、杆体距地面</w:t>
            </w:r>
            <w:r>
              <w:rPr>
                <w:rFonts w:hint="eastAsia" w:ascii="宋体" w:hAnsi="宋体" w:eastAsia="宋体" w:cs="宋体"/>
                <w:i w:val="0"/>
                <w:iCs w:val="0"/>
                <w:color w:val="000000"/>
                <w:sz w:val="22"/>
                <w:szCs w:val="22"/>
                <w:highlight w:val="none"/>
                <w:u w:val="none"/>
                <w:lang w:val="en-US" w:eastAsia="en-US" w:bidi="ar"/>
              </w:rPr>
              <w:t xml:space="preserve">300mm-400mm处留有穿线孔，孔的上方焊接防水檐；</w:t>
            </w:r>
            <w:r/>
          </w:p>
        </w:tc>
      </w:tr>
      <w:tr>
        <w:trPr>
          <w:trHeight w:val="50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5、杆件抗风等级应达</w:t>
            </w:r>
            <w:r>
              <w:rPr>
                <w:rFonts w:hint="eastAsia" w:ascii="宋体" w:hAnsi="宋体" w:eastAsia="宋体" w:cs="宋体"/>
                <w:i w:val="0"/>
                <w:iCs w:val="0"/>
                <w:color w:val="000000"/>
                <w:sz w:val="22"/>
                <w:szCs w:val="22"/>
                <w:highlight w:val="none"/>
                <w:u w:val="none"/>
                <w:lang w:val="en-US" w:eastAsia="en-US" w:bidi="ar"/>
              </w:rPr>
              <w:t xml:space="preserve">12级；</w:t>
            </w:r>
            <w:r/>
          </w:p>
        </w:tc>
      </w:tr>
      <w:tr>
        <w:trPr>
          <w:trHeight w:val="76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6、杆件应安装保护地线，保护地线使用镀锌扁钢制作，焊接到每个钢制杆件的法兰盘上；焊接处作防腐处理。保护地线与接地体</w:t>
            </w:r>
            <w:r>
              <w:rPr>
                <w:rFonts w:hint="eastAsia" w:ascii="宋体" w:hAnsi="宋体" w:eastAsia="宋体" w:cs="宋体"/>
                <w:i w:val="0"/>
                <w:iCs w:val="0"/>
                <w:color w:val="000000"/>
                <w:sz w:val="22"/>
                <w:szCs w:val="22"/>
                <w:highlight w:val="none"/>
                <w:u w:val="none"/>
                <w:lang w:val="en-US" w:eastAsia="en-US" w:bidi="ar"/>
              </w:rPr>
              <w:t xml:space="preserve">/接地棒有效连接，接地电阻应小于4Ω。</w:t>
            </w:r>
            <w:r/>
          </w:p>
        </w:tc>
      </w:tr>
      <w:tr>
        <w:trPr>
          <w:trHeight w:val="664"/>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en-US" w:bidi="ar"/>
              </w:rPr>
              <w:t xml:space="preserve">电警立杆高度6.5米、横臂长度</w:t>
            </w:r>
            <w:r>
              <w:rPr>
                <w:rFonts w:hint="eastAsia" w:ascii="宋体" w:hAnsi="宋体" w:eastAsia="宋体" w:cs="宋体"/>
                <w:i w:val="0"/>
                <w:iCs w:val="0"/>
                <w:color w:val="000000"/>
                <w:sz w:val="22"/>
                <w:szCs w:val="22"/>
                <w:highlight w:val="none"/>
                <w:u w:val="none"/>
                <w:lang w:val="en-US" w:eastAsia="zh-CN" w:bidi="ar"/>
              </w:rPr>
              <w:t xml:space="preserve">根据各安装点位综合测量</w:t>
            </w:r>
            <w:r>
              <w:rPr>
                <w:rFonts w:hint="eastAsia" w:ascii="宋体" w:hAnsi="宋体" w:eastAsia="宋体" w:cs="宋体"/>
                <w:i w:val="0"/>
                <w:iCs w:val="0"/>
                <w:color w:val="000000"/>
                <w:sz w:val="22"/>
                <w:szCs w:val="22"/>
                <w:highlight w:val="none"/>
                <w:u w:val="none"/>
                <w:lang w:val="en-US" w:eastAsia="en-US" w:bidi="ar"/>
              </w:rPr>
              <w:t xml:space="preserve">，满足信号灯及抓拍要求确定。杆件壁厚必须满足抗风12级以上要求。</w:t>
            </w:r>
            <w:r/>
          </w:p>
        </w:tc>
      </w:tr>
      <w:tr>
        <w:trPr>
          <w:trHeight w:val="434"/>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8、详细杆件规格及尺寸参见清单要求。</w:t>
            </w:r>
            <w:r/>
          </w:p>
        </w:tc>
      </w:tr>
      <w:tr>
        <w:trPr>
          <w:trHeight w:val="54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基础基本要求：</w:t>
            </w:r>
            <w:r/>
          </w:p>
        </w:tc>
      </w:tr>
      <w:tr>
        <w:trPr>
          <w:trHeight w:val="482"/>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Calibri" w:hAnsi="Calibri" w:eastAsia="宋体" w:cs="Times New Roman"/>
                <w:spacing w:val="6"/>
                <w:sz w:val="24"/>
                <w:highlight w:val="none"/>
              </w:rPr>
              <w:t xml:space="preserve">★</w:t>
            </w:r>
            <w:r>
              <w:rPr>
                <w:rFonts w:hint="eastAsia" w:ascii="宋体" w:hAnsi="宋体" w:eastAsia="宋体" w:cs="宋体"/>
                <w:i w:val="0"/>
                <w:iCs w:val="0"/>
                <w:color w:val="000000"/>
                <w:sz w:val="22"/>
                <w:szCs w:val="22"/>
                <w:highlight w:val="none"/>
                <w:u w:val="none"/>
                <w:lang w:val="en-US" w:eastAsia="zh-CN" w:bidi="ar"/>
              </w:rPr>
              <w:t xml:space="preserve">基础采用</w:t>
            </w:r>
            <w:r>
              <w:rPr>
                <w:rFonts w:hint="eastAsia" w:ascii="宋体" w:hAnsi="宋体" w:eastAsia="宋体" w:cs="宋体"/>
                <w:i w:val="0"/>
                <w:iCs w:val="0"/>
                <w:color w:val="000000"/>
                <w:sz w:val="22"/>
                <w:szCs w:val="22"/>
                <w:highlight w:val="none"/>
                <w:u w:val="none"/>
                <w:lang w:val="en-US" w:eastAsia="en-US" w:bidi="ar"/>
              </w:rPr>
              <w:t xml:space="preserve">C30筋商品混凝土。基础的浇注、混凝土强度等级必须符合GB50204的要求。</w:t>
            </w:r>
            <w:r/>
          </w:p>
        </w:tc>
      </w:tr>
      <w:tr>
        <w:trPr>
          <w:trHeight w:val="422"/>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涉及基坑开挖等基础施工需要提前和道路市政管理部门协调，办理相关手续后再行施工。施工时严格执行道路市政管理方的要求及施工规范，按规定施工，在城区道口涉及对路面非主干部分切割及开挖管道时，均需得到市政管理部门的许可后实施，施工结束后要恢复原样，涉及城区基坑开挖、非开挖顶管施工作业办理相关手续由建设单位落实协调办理。</w:t>
            </w:r>
            <w:r/>
          </w:p>
        </w:tc>
      </w:tr>
      <w:tr>
        <w:trPr>
          <w:trHeight w:val="46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基础钢筋笼要求：</w:t>
            </w:r>
            <w:r/>
          </w:p>
        </w:tc>
      </w:tr>
      <w:tr>
        <w:trPr>
          <w:trHeight w:val="48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1、钢筋采用</w:t>
            </w:r>
            <w:r>
              <w:rPr>
                <w:rFonts w:hint="eastAsia" w:ascii="宋体" w:hAnsi="宋体" w:eastAsia="宋体" w:cs="宋体"/>
                <w:i w:val="0"/>
                <w:iCs w:val="0"/>
                <w:color w:val="000000"/>
                <w:sz w:val="22"/>
                <w:szCs w:val="22"/>
                <w:highlight w:val="none"/>
                <w:u w:val="none"/>
                <w:lang w:val="en-US" w:eastAsia="en-US" w:bidi="ar"/>
              </w:rPr>
              <w:t xml:space="preserve">HRB400；基础混凝土为C30。</w:t>
            </w:r>
            <w:r/>
          </w:p>
        </w:tc>
      </w:tr>
      <w:tr>
        <w:trPr>
          <w:trHeight w:val="66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Calibri" w:hAnsi="Calibri" w:eastAsia="宋体" w:cs="Times New Roman"/>
                <w:spacing w:val="6"/>
                <w:sz w:val="24"/>
                <w:highlight w:val="none"/>
              </w:rPr>
              <w:t xml:space="preserve">★</w:t>
            </w:r>
            <w:r>
              <w:rPr>
                <w:rFonts w:hint="eastAsia" w:ascii="宋体" w:hAnsi="宋体" w:eastAsia="宋体" w:cs="宋体"/>
                <w:i w:val="0"/>
                <w:iCs w:val="0"/>
                <w:color w:val="000000"/>
                <w:sz w:val="22"/>
                <w:szCs w:val="22"/>
                <w:highlight w:val="none"/>
                <w:u w:val="none"/>
                <w:lang w:val="en-US" w:eastAsia="zh-CN" w:bidi="ar"/>
              </w:rPr>
              <w:t xml:space="preserve">钢构件连接板材质应为</w:t>
            </w:r>
            <w:r>
              <w:rPr>
                <w:rFonts w:hint="eastAsia" w:ascii="宋体" w:hAnsi="宋体" w:eastAsia="宋体" w:cs="宋体"/>
                <w:i w:val="0"/>
                <w:iCs w:val="0"/>
                <w:color w:val="000000"/>
                <w:sz w:val="22"/>
                <w:szCs w:val="22"/>
                <w:highlight w:val="none"/>
                <w:u w:val="none"/>
                <w:lang w:val="en-US" w:eastAsia="en-US" w:bidi="ar"/>
              </w:rPr>
              <w:t xml:space="preserve">Q235B，其力学性能和化学成分应符合《碳素结构钢》（GB/T700-2006）的规定。</w:t>
            </w:r>
            <w:r/>
          </w:p>
        </w:tc>
      </w:tr>
      <w:tr>
        <w:trPr>
          <w:trHeight w:val="74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3、地基承载力特征值不小于</w:t>
            </w:r>
            <w:r>
              <w:rPr>
                <w:rFonts w:hint="eastAsia" w:ascii="宋体" w:hAnsi="宋体" w:eastAsia="宋体" w:cs="宋体"/>
                <w:i w:val="0"/>
                <w:iCs w:val="0"/>
                <w:color w:val="000000"/>
                <w:sz w:val="22"/>
                <w:szCs w:val="22"/>
                <w:highlight w:val="none"/>
                <w:u w:val="none"/>
                <w:lang w:val="en-US" w:eastAsia="en-US" w:bidi="ar"/>
              </w:rPr>
              <w:t xml:space="preserve">120kPa。基础设计时取地基承载力fak=120kPa。基础应坐落于好土层上。若好土层位置较深，则应采取粘土换填，换填至设计标高，换填深度为0.6m，压实系数为0.97。</w:t>
            </w:r>
            <w:r/>
          </w:p>
        </w:tc>
      </w:tr>
      <w:tr>
        <w:trPr>
          <w:trHeight w:val="54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4、地脚螺栓外露部分须双螺母和垫块固定，材质采用热镀锌加大加厚垫片及热镀锌国标件螺帽。</w:t>
            </w:r>
            <w:r/>
          </w:p>
        </w:tc>
      </w:tr>
      <w:tr>
        <w:trPr>
          <w:trHeight w:val="54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Calibri" w:hAnsi="Calibri" w:eastAsia="宋体" w:cs="Times New Roman"/>
                <w:spacing w:val="6"/>
                <w:sz w:val="24"/>
                <w:highlight w:val="none"/>
              </w:rPr>
              <w:t xml:space="preserve">★</w:t>
            </w:r>
            <w:r>
              <w:rPr>
                <w:rFonts w:hint="eastAsia" w:ascii="宋体" w:hAnsi="宋体" w:eastAsia="宋体" w:cs="宋体"/>
                <w:i w:val="0"/>
                <w:iCs w:val="0"/>
                <w:color w:val="000000"/>
                <w:sz w:val="22"/>
                <w:szCs w:val="22"/>
                <w:highlight w:val="none"/>
                <w:u w:val="none"/>
                <w:lang w:val="en-US" w:eastAsia="zh-CN" w:bidi="ar"/>
              </w:rPr>
              <w:t xml:space="preserve">钢结构的安装应按照《</w:t>
            </w:r>
            <w:r>
              <w:rPr>
                <w:rFonts w:hint="eastAsia" w:ascii="宋体" w:hAnsi="宋体" w:eastAsia="宋体" w:cs="宋体"/>
                <w:i w:val="0"/>
                <w:iCs w:val="0"/>
                <w:color w:val="000000"/>
                <w:sz w:val="22"/>
                <w:szCs w:val="22"/>
                <w:highlight w:val="none"/>
                <w:u w:val="none"/>
                <w:lang w:val="en-US" w:eastAsia="en-US" w:bidi="ar"/>
              </w:rPr>
              <w:t xml:space="preserve">GB50205-2001》、《JG144-2016》进行。</w:t>
            </w:r>
            <w:r/>
          </w:p>
        </w:tc>
      </w:tr>
      <w:tr>
        <w:trPr>
          <w:trHeight w:val="54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6、基础范围内的上部及周边的回填土应用粘土分层压实回填，压实系数为</w:t>
            </w:r>
            <w:r>
              <w:rPr>
                <w:rFonts w:hint="eastAsia" w:ascii="宋体" w:hAnsi="宋体" w:eastAsia="宋体" w:cs="宋体"/>
                <w:i w:val="0"/>
                <w:iCs w:val="0"/>
                <w:color w:val="000000"/>
                <w:sz w:val="22"/>
                <w:szCs w:val="22"/>
                <w:highlight w:val="none"/>
                <w:u w:val="none"/>
                <w:lang w:val="en-US" w:eastAsia="en-US" w:bidi="ar"/>
              </w:rPr>
              <w:t xml:space="preserve">0.94。</w:t>
            </w:r>
            <w:r/>
          </w:p>
        </w:tc>
      </w:tr>
      <w:tr>
        <w:trPr>
          <w:trHeight w:val="54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防雷接地要求：</w:t>
            </w:r>
            <w:r/>
          </w:p>
        </w:tc>
      </w:tr>
      <w:tr>
        <w:trPr>
          <w:trHeight w:val="76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1、设备有要求时应进行工作接地、所有配套的外露金属设施构件都应按照</w:t>
            </w:r>
            <w:r>
              <w:rPr>
                <w:rFonts w:hint="eastAsia" w:ascii="宋体" w:hAnsi="宋体" w:eastAsia="宋体" w:cs="宋体"/>
                <w:i w:val="0"/>
                <w:iCs w:val="0"/>
                <w:color w:val="000000"/>
                <w:sz w:val="22"/>
                <w:szCs w:val="22"/>
                <w:highlight w:val="none"/>
                <w:u w:val="none"/>
                <w:lang w:val="en-US" w:eastAsia="en-US" w:bidi="ar"/>
              </w:rPr>
              <w:t xml:space="preserve">IEC的有关规定进行综合接地处理，接地电阻必须小于设备规定的工作接地和安全接地电阻，综合接地电阻≤4Ω。</w:t>
            </w:r>
            <w:r/>
          </w:p>
        </w:tc>
      </w:tr>
      <w:tr>
        <w:trPr>
          <w:trHeight w:val="576"/>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2、所有接地极的接地电阻将进行测量；经测量达不到要求时，将在接地极回填土中加入无腐蚀性长效降阻剂；当仍达不到要求时，将经过业主同意，采用更换接地装置的措施。</w:t>
            </w:r>
            <w:r/>
          </w:p>
        </w:tc>
      </w:tr>
    </w:tbl>
    <w:p>
      <w:pPr>
        <w:pStyle w:val="1096"/>
        <w:numPr>
          <w:ilvl w:val="0"/>
          <w:numId w:val="14"/>
        </w:numPr>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rPr>
        <w:t xml:space="preserve">信号灯故障智能检测系统参数：</w:t>
      </w:r>
      <w:r/>
    </w:p>
    <w:tbl>
      <w:tblPr>
        <w:tblStyle w:val="813"/>
        <w:tblW w:w="8524" w:type="dxa"/>
        <w:jc w:val="center"/>
        <w:tblLayout w:type="autofit"/>
        <w:tblCellMar>
          <w:left w:w="108" w:type="dxa"/>
          <w:top w:w="0" w:type="dxa"/>
          <w:right w:w="108" w:type="dxa"/>
          <w:bottom w:w="0" w:type="dxa"/>
        </w:tblCellMar>
        <w:tblLook w:val="04A0" w:firstRow="1" w:lastRow="0" w:firstColumn="1" w:lastColumn="0" w:noHBand="0" w:noVBand="1"/>
      </w:tblPr>
      <w:tblGrid>
        <w:gridCol w:w="770"/>
        <w:gridCol w:w="1850"/>
        <w:gridCol w:w="5904"/>
      </w:tblGrid>
      <w:tr>
        <w:trPr>
          <w:jc w:val="center"/>
          <w:trHeight w:val="50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val="false"/>
          </w:tcPr>
          <w:p>
            <w:pPr>
              <w:ind w:firstLine="472"/>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产品名称</w:t>
            </w:r>
            <w:r/>
          </w:p>
        </w:tc>
        <w:tc>
          <w:tcPr>
            <w:tcBorders>
              <w:top w:val="single" w:color="000000" w:sz="4" w:space="0"/>
              <w:left w:val="none" w:color="000000" w:sz="4" w:space="0"/>
              <w:bottom w:val="single" w:color="000000" w:sz="4" w:space="0"/>
              <w:right w:val="single" w:color="000000" w:sz="4" w:space="0"/>
            </w:tcBorders>
            <w:tcW w:w="5904"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产品描述</w:t>
            </w:r>
            <w:r/>
          </w:p>
        </w:tc>
      </w:tr>
      <w:tr>
        <w:trPr>
          <w:jc w:val="center"/>
          <w:trHeight w:val="500"/>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智能运维基础模块</w:t>
            </w:r>
            <w:r/>
          </w:p>
        </w:tc>
        <w:tc>
          <w:tcPr>
            <w:tcBorders>
              <w:top w:val="none" w:color="000000" w:sz="4" w:space="0"/>
              <w:left w:val="none" w:color="000000" w:sz="4" w:space="0"/>
              <w:bottom w:val="single" w:color="000000"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1.支持资产管理，包括平台同步设备/通道、智能设备、IT基础设备、软件应用；</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2.支持设备在线状态、视频点播、视频质量诊断、录像完整性、卡口抓拍量检测等功能，并支持对以上异常故障的报警及可视化报表统计；</w:t>
            </w:r>
            <w:r/>
          </w:p>
        </w:tc>
      </w:tr>
      <w:tr>
        <w:trPr>
          <w:jc w:val="center"/>
          <w:trHeight w:val="500"/>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通道授权</w:t>
            </w:r>
            <w:r/>
          </w:p>
        </w:tc>
        <w:tc>
          <w:tcPr>
            <w:tcBorders>
              <w:top w:val="none" w:color="000000" w:sz="4" w:space="0"/>
              <w:left w:val="none" w:color="000000" w:sz="4" w:space="0"/>
              <w:bottom w:val="single" w:color="000000"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智能运维NMS的通道授权模块；每份包含100路通道授权</w:t>
            </w:r>
            <w:r/>
          </w:p>
        </w:tc>
      </w:tr>
      <w:tr>
        <w:trPr>
          <w:jc w:val="center"/>
          <w:trHeight w:val="500"/>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交警设备设施故障检测模块</w:t>
            </w:r>
            <w:r/>
          </w:p>
        </w:tc>
        <w:tc>
          <w:tcPr>
            <w:tcBorders>
              <w:top w:val="none" w:color="000000" w:sz="4" w:space="0"/>
              <w:left w:val="none" w:color="000000" w:sz="4" w:space="0"/>
              <w:bottom w:val="single" w:color="000000"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支持机动车信号灯/非机动车信号灯/人行横道信号灯/车道信号灯/道路交通信号灯倒计时器的信号灯不亮报警、信号灯单色灯常亮报警、信号灯同亮报警、信号灯亮度不足报警、信号灯遮挡报警、信号灯黄闪报警，支持展示异常图片，并在图片中标记异常信号灯目标物</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检测区域和检测算法配置</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支持对视频通道进行信号灯、LED屏等检测对象检测区配置，支持基于实时通道图片画面进行检测区绘制圈选出检测目标，同时可配置对应检测类型和算法类型，以及对算法分析时长进行配置；</w:t>
            </w:r>
            <w:r/>
          </w:p>
        </w:tc>
      </w:tr>
      <w:tr>
        <w:trPr>
          <w:jc w:val="center"/>
          <w:trHeight w:val="500"/>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运维硬件服务器</w:t>
            </w:r>
            <w:r/>
          </w:p>
        </w:tc>
        <w:tc>
          <w:tcPr>
            <w:tcBorders>
              <w:top w:val="none" w:color="000000" w:sz="4" w:space="0"/>
              <w:left w:val="none" w:color="000000" w:sz="4" w:space="0"/>
              <w:bottom w:val="single" w:color="000000"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CPU：不低于8物理核心/16线程</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内存：配置不低于2根16GB DDR4内存，容量最高支持至256GB</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网卡：板载集成千兆双口+双口千兆网卡</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通过riser卡可提供2种PCIe选择：最大可支持2个×8 PCIe 插槽，可支持1块全高半长加1块半高半长PCIe卡最大可支持1个×16 PCIe 插槽</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SAS3008卡，支持RAID0/1/10</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硬盘：2T LFF SATA × 2</w:t>
            </w:r>
            <w:r/>
          </w:p>
        </w:tc>
      </w:tr>
      <w:tr>
        <w:trPr>
          <w:jc w:val="center"/>
          <w:trHeight w:val="500"/>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交通事件检测智能服务器</w:t>
            </w:r>
            <w:r/>
          </w:p>
        </w:tc>
        <w:tc>
          <w:tcPr>
            <w:tcBorders>
              <w:top w:val="none" w:color="000000" w:sz="4" w:space="0"/>
              <w:left w:val="none" w:color="000000" w:sz="4" w:space="0"/>
              <w:bottom w:val="single" w:color="000000"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硬盘：1块2.5寸128GB SSD，2块3.5寸4TB硬盘</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内存：4根8GB DDR4内存条</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智能卡数量：2块智能分析卡</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主处理器：CPU不低于4核8线程，3.6GHz</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支持运行红绿灯检测运维算法分析；单台支持不低于32路400万视频分析；</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数据库扩容</w:t>
            </w:r>
            <w:r/>
          </w:p>
        </w:tc>
        <w:tc>
          <w:tcPr>
            <w:tcBorders>
              <w:top w:val="single" w:color="000000" w:sz="4" w:space="0"/>
              <w:left w:val="single" w:color="000000" w:sz="4" w:space="0"/>
              <w:bottom w:val="single" w:color="000000"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支持5亿条数据量存储</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日增数据写入500万条/天（单条数据平均2K）</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数据接入：针对实时流数据提供安全，可靠，可弹性扩展的数据接入能力，支持从kafka、RabbitMQ等主流中间件数据源以消息流方式接入实时结构化数据，包括：过车数据，人脸数据，Mac数据，RFID数据，档案类数据等</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数据生命周期管理：支持用户自定义配置数据存储生命周期，自动删除超过生命周期的数据</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高级查询接口：1、提供统一API查询接口功能：对上层业务实现了API统一封装，便于上层业务查询对接2、提供通用SQL查询接口功能：支持通过自定义SQL语句方式查询业务数据</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运维管理：1、支持对数据库系统运维：支持服务启停、支持修改IP以及密码、支持数据库巡检2、支持对数据库监控功能：支持监控系统整体运行情况3、提供数据管家功能：支持创建业务表，支持管理数据接入任务</w:t>
            </w:r>
            <w:r/>
          </w:p>
        </w:tc>
      </w:tr>
      <w:tr>
        <w:trPr>
          <w:jc w:val="center"/>
          <w:trHeight w:val="500"/>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7</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流媒体节点软件</w:t>
            </w:r>
            <w:r/>
          </w:p>
        </w:tc>
        <w:tc>
          <w:tcPr>
            <w:tcBorders>
              <w:top w:val="none" w:color="000000" w:sz="4" w:space="0"/>
              <w:left w:val="none" w:color="000000" w:sz="4" w:space="0"/>
              <w:bottom w:val="single" w:color="000000"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转发参数：支持单节点256路转发（4M码流、四网口绑定）</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存储参数：或支持单节点256路存储（4M码流、四网口绑定）；或 支持单节点400路车辆卡口存储（四网口绑定）</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接入参数：支持5000私有协议接入，或2500国标接入，或5000主动注册，或2500 Onvif接入</w:t>
            </w:r>
            <w:r/>
          </w:p>
        </w:tc>
      </w:tr>
      <w:tr>
        <w:trPr>
          <w:jc w:val="center"/>
          <w:trHeight w:val="2696"/>
        </w:trPr>
        <w:tc>
          <w:tcPr>
            <w:tcBorders>
              <w:top w:val="single" w:color="000000" w:sz="4" w:space="0"/>
              <w:left w:val="single" w:color="000000" w:sz="4" w:space="0"/>
              <w:bottom w:val="single" w:color="auto"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8</w:t>
            </w:r>
            <w:r/>
          </w:p>
        </w:tc>
        <w:tc>
          <w:tcPr>
            <w:tcBorders>
              <w:top w:val="single" w:color="000000" w:sz="4" w:space="0"/>
              <w:left w:val="none" w:color="000000" w:sz="4" w:space="0"/>
              <w:bottom w:val="single" w:color="auto"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流媒体节点服务器</w:t>
            </w:r>
            <w:r/>
          </w:p>
        </w:tc>
        <w:tc>
          <w:tcPr>
            <w:tcBorders>
              <w:top w:val="single" w:color="000000" w:sz="4" w:space="0"/>
              <w:left w:val="none" w:color="000000" w:sz="4" w:space="0"/>
              <w:bottom w:val="single" w:color="auto"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处理器：2颗Intel Xeon 4210（R）×2.2G 9.6UPI 13.75M 10C 85W</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内存：配置4条16GB DDR4 2933 REG内存</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固态硬盘（SSD）：配置2块480G 2.5寸-SATA固态硬盘</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机械硬盘（HDD）：配置2块2T 3.5</w:t>
            </w:r>
            <w:r>
              <w:rPr>
                <w:rFonts w:hint="eastAsia" w:ascii="宋体" w:hAnsi="宋体" w:cs="宋体"/>
                <w:color w:val="000000"/>
                <w:spacing w:val="-2"/>
                <w:sz w:val="24"/>
                <w:szCs w:val="24"/>
                <w:lang w:val="en-US" w:eastAsia="zh-CN"/>
              </w:rPr>
              <w:t xml:space="preserve">寸</w:t>
            </w:r>
            <w:r>
              <w:rPr>
                <w:rFonts w:hint="eastAsia" w:ascii="宋体" w:hAnsi="宋体" w:eastAsia="宋体" w:cs="宋体"/>
                <w:color w:val="000000"/>
                <w:spacing w:val="-2"/>
                <w:sz w:val="24"/>
                <w:szCs w:val="24"/>
                <w:lang w:val="en-US" w:eastAsia="zh-CN"/>
              </w:rPr>
              <w:t xml:space="preserve"> 7.2K 6GbSATA热插拔硬盘；</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RAID控制器：LSI SAS3008 SAS卡（IR）</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网卡：双口千兆 RJ45网卡+四口千兆 RJ45网卡+板载双口千兆RJ45网卡</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电源：双电源/550 W/</w:t>
            </w:r>
            <w:r/>
          </w:p>
        </w:tc>
      </w:tr>
    </w:tbl>
    <w:p>
      <w:pPr>
        <w:pStyle w:val="1096"/>
        <w:numPr>
          <w:ilvl w:val="0"/>
          <w:numId w:val="14"/>
        </w:numPr>
        <w:spacing w:line="360" w:lineRule="auto"/>
        <w:rPr>
          <w:rFonts w:hint="eastAsia" w:ascii="宋体" w:hAnsi="宋体" w:eastAsia="宋体" w:cs="宋体"/>
          <w:b/>
          <w:bCs/>
          <w:sz w:val="24"/>
          <w:lang w:eastAsia="zh-CN"/>
        </w:rPr>
      </w:pPr>
      <w:r>
        <w:rPr>
          <w:rFonts w:hint="eastAsia" w:ascii="宋体" w:hAnsi="宋体" w:eastAsia="宋体" w:cs="宋体"/>
          <w:b/>
          <w:bCs/>
          <w:highlight w:val="none"/>
        </w:rPr>
        <w:t xml:space="preserve">声光电定向声波系统参数：</w:t>
      </w:r>
      <w:r/>
    </w:p>
    <w:p>
      <w:pPr>
        <w:pStyle w:val="1096"/>
        <w:spacing w:line="360" w:lineRule="auto"/>
        <w:rPr>
          <w:rFonts w:hint="default" w:ascii="宋体" w:hAnsi="宋体" w:eastAsia="宋体" w:cs="宋体"/>
          <w:b/>
          <w:bCs/>
          <w:color w:val="000000"/>
          <w:spacing w:val="-2"/>
          <w:sz w:val="24"/>
          <w:szCs w:val="24"/>
          <w:lang w:val="en-US" w:eastAsia="zh-CN" w:bidi="ar-SA"/>
        </w:rPr>
      </w:pPr>
      <w:r>
        <w:rPr>
          <w:rFonts w:hint="eastAsia" w:cs="宋体"/>
          <w:b/>
          <w:bCs/>
          <w:sz w:val="24"/>
          <w:lang w:val="en-US" w:eastAsia="zh-CN"/>
        </w:rPr>
        <w:t xml:space="preserve">10.1、</w:t>
      </w:r>
      <w:r>
        <w:rPr>
          <w:rFonts w:hint="default" w:ascii="宋体" w:hAnsi="宋体" w:eastAsia="宋体" w:cs="宋体"/>
          <w:b/>
          <w:bCs/>
          <w:color w:val="000000"/>
          <w:spacing w:val="-2"/>
          <w:sz w:val="24"/>
          <w:szCs w:val="24"/>
          <w:lang w:val="en-US" w:eastAsia="zh-CN" w:bidi="ar-SA"/>
        </w:rPr>
        <w:t xml:space="preserve">声光电预警终端（2组定向声波扬声器+10节爆闪灯）</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1、爆闪模块</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DC12V-24V；尺寸：310×50×50mm，450×50×50mm。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2.定向喇叭模块</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电源输入范围：输入～220V；</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功率放大输出：2×30W、24Vdc、8Ω；</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待机功耗：≤1W、输入 24Vdc；</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网络接口：10/100M；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音频输入：1000mVrms、95dB；</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音频输出 ：300mVrms、10KΩ、95dB</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总额定功率小于等于80W；</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频率1000Hz-3000Hz；</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单个扬声器灵敏度大于等于110db/w/m，额定功率小于等于25W；</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轴向方向前方声音衰减小于等于0.5db/m；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后方声音衰减大于等于5db/m；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两侧声音衰减大于等于2.5db/m，且声音清晰可辨。</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3.设备箱体尺寸</w:t>
      </w:r>
      <w:r/>
    </w:p>
    <w:p>
      <w:pPr>
        <w:ind w:firstLine="504"/>
        <w:spacing w:line="360" w:lineRule="auto"/>
        <w:rPr>
          <w:rFonts w:hint="eastAsia" w:ascii="宋体" w:hAnsi="宋体" w:eastAsia="宋体" w:cs="宋体"/>
          <w:b/>
          <w:spacing w:val="6"/>
          <w:sz w:val="24"/>
          <w:szCs w:val="24"/>
          <w:lang w:val="en-US" w:eastAsia="zh-CN"/>
        </w:rPr>
      </w:pPr>
      <w:r>
        <w:rPr>
          <w:rFonts w:hint="eastAsia" w:ascii="宋体" w:hAnsi="宋体" w:eastAsia="宋体" w:cs="宋体"/>
          <w:spacing w:val="6"/>
          <w:sz w:val="24"/>
          <w:szCs w:val="24"/>
          <w:lang w:val="en-US" w:eastAsia="zh-CN"/>
        </w:rPr>
        <w:t xml:space="preserve">尺寸：长340×宽330×高620</w:t>
      </w:r>
      <w:r/>
    </w:p>
    <w:p>
      <w:pPr>
        <w:pStyle w:val="1096"/>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10.2、声光电预警终端（4组定向声波扬声器+LED显示屏+6节爆闪灯）</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1.爆闪模块</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DC12V-24V；尺寸：450×50×50mm。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2.定向喇叭模块</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4组定向喇叭模块；</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总额定功率小于等于100W；</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频率1000Hz-3000Hz；</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单个扬声器灵敏度大于等于110db/w/m，额定功率小于等于25W；</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轴向方向前方声音衰减小于等于0.5db/m；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后方声音衰减大于等于5db/m；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两侧声音衰减大于等于2.5db/m，且声音清晰可辨。</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3.显示屏模块</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显示面积：960×800mm；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显示分辨率：96×80；</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显示基色：双色。</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4.设备箱体尺寸</w:t>
      </w:r>
      <w:r/>
    </w:p>
    <w:p>
      <w:pPr>
        <w:pStyle w:val="1096"/>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尺寸：长1020×宽330×高1550mm。</w:t>
      </w:r>
      <w:r/>
    </w:p>
    <w:p>
      <w:pPr>
        <w:pStyle w:val="1096"/>
        <w:numPr>
          <w:ilvl w:val="0"/>
          <w:numId w:val="14"/>
        </w:numPr>
        <w:spacing w:line="360" w:lineRule="auto"/>
        <w:rPr>
          <w:rFonts w:hint="eastAsia" w:ascii="宋体" w:hAnsi="宋体" w:eastAsia="宋体" w:cs="宋体"/>
          <w:b/>
          <w:bCs/>
          <w:sz w:val="24"/>
          <w:szCs w:val="24"/>
          <w:lang w:eastAsia="zh-CN"/>
        </w:rPr>
      </w:pPr>
      <w:r>
        <w:rPr>
          <w:rFonts w:hint="eastAsia" w:ascii="宋体" w:hAnsi="宋体" w:eastAsia="宋体" w:cs="宋体"/>
          <w:b/>
          <w:bCs/>
          <w:highlight w:val="none"/>
        </w:rPr>
        <w:t xml:space="preserve">电子哨兵系统参数：</w:t>
      </w:r>
      <w:r/>
    </w:p>
    <w:p>
      <w:pPr>
        <w:pStyle w:val="1096"/>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11.1、相机</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1、采用一体机，内置优于或等于12mm定焦镜头，雷达发射频率优于或等于80GHz；</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2、传感器尺寸≥1/1.8 英寸，视频分辨率≥4M（2688×1520）；</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3、可设置显示自定义文字信息、字体大小、字体颜色等，可设置不低于两个输出显示屏IP 地址；</w:t>
      </w:r>
      <w:r/>
    </w:p>
    <w:p>
      <w:pPr>
        <w:ind w:firstLine="504"/>
        <w:jc w:val="left"/>
        <w:spacing w:line="360" w:lineRule="auto"/>
        <w:rPr>
          <w:rFonts w:hint="eastAsia" w:ascii="宋体" w:hAnsi="宋体" w:eastAsia="宋体" w:cs="宋体"/>
          <w:b/>
          <w:bCs/>
          <w:spacing w:val="6"/>
          <w:sz w:val="24"/>
          <w:szCs w:val="24"/>
          <w:lang w:val="en-US" w:eastAsia="zh-CN"/>
        </w:rPr>
      </w:pPr>
      <w:r>
        <w:rPr>
          <w:rFonts w:hint="eastAsia" w:ascii="宋体" w:hAnsi="宋体" w:eastAsia="宋体" w:cs="宋体"/>
          <w:spacing w:val="6"/>
          <w:sz w:val="24"/>
          <w:szCs w:val="24"/>
          <w:lang w:val="en-US" w:eastAsia="zh-CN"/>
        </w:rPr>
        <w:t xml:space="preserve">4、</w:t>
      </w:r>
      <w:r>
        <w:rPr>
          <w:rFonts w:hint="eastAsia" w:ascii="宋体" w:hAnsi="宋体" w:eastAsia="宋体" w:cs="宋体"/>
          <w:spacing w:val="6"/>
          <w:sz w:val="24"/>
          <w:szCs w:val="24"/>
          <w:highlight w:val="none"/>
          <w:lang w:val="en-US" w:eastAsia="zh-CN"/>
        </w:rPr>
        <w:t xml:space="preserve">▲</w:t>
      </w:r>
      <w:r>
        <w:rPr>
          <w:rFonts w:hint="eastAsia" w:ascii="宋体" w:hAnsi="宋体" w:eastAsia="宋体" w:cs="宋体"/>
          <w:spacing w:val="6"/>
          <w:sz w:val="24"/>
          <w:szCs w:val="24"/>
          <w:lang w:val="en-US" w:eastAsia="zh-CN"/>
        </w:rPr>
        <w:t xml:space="preserve">可显示车速和车牌内容，显示信息的字体颜色、大小、内容可设置；屏幕可支持区域划分，不同区域显示不同内容；屏幕可根据需求调整语音播报内容；屏幕可分时段进行亮度显示的配置；</w:t>
      </w:r>
      <w:r>
        <w:rPr>
          <w:rFonts w:hint="eastAsia" w:ascii="宋体" w:hAnsi="宋体" w:eastAsia="宋体" w:cs="宋体"/>
          <w:b/>
          <w:bCs/>
          <w:spacing w:val="6"/>
          <w:sz w:val="24"/>
          <w:szCs w:val="24"/>
          <w:lang w:val="en-US" w:eastAsia="zh-CN"/>
        </w:rPr>
        <w:t xml:space="preserve">（</w:t>
      </w:r>
      <w:r>
        <w:rPr>
          <w:rFonts w:hint="eastAsia" w:ascii="宋体" w:hAnsi="宋体" w:cs="宋体"/>
          <w:b/>
          <w:bCs/>
          <w:spacing w:val="6"/>
          <w:sz w:val="24"/>
          <w:szCs w:val="24"/>
          <w:highlight w:val="none"/>
          <w:lang w:val="en-US" w:eastAsia="zh-CN"/>
        </w:rPr>
        <w:t xml:space="preserve">提供国家认可的检测机构出具的检测报告扫描件</w:t>
      </w:r>
      <w:r>
        <w:rPr>
          <w:rFonts w:hint="eastAsia" w:ascii="宋体" w:hAnsi="宋体" w:eastAsia="宋体" w:cs="宋体"/>
          <w:b/>
          <w:bCs/>
          <w:spacing w:val="6"/>
          <w:sz w:val="24"/>
          <w:szCs w:val="24"/>
          <w:lang w:val="en-US" w:eastAsia="zh-CN"/>
        </w:rPr>
        <w:t xml:space="preserve">加盖投标人公章）</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5、支持雷达数据和视频数据融合，在雷达可视化界面上显示跟踪目标速度、ID、距离；</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6、支持捕获通过监测点的车辆图像；支持识别通过监测点的车辆的车牌信息；</w:t>
      </w:r>
      <w:r/>
    </w:p>
    <w:p>
      <w:pPr>
        <w:ind w:firstLine="504"/>
        <w:jc w:val="left"/>
        <w:spacing w:line="360" w:lineRule="auto"/>
        <w:rPr>
          <w:rFonts w:hint="eastAsia" w:ascii="宋体" w:hAnsi="宋体" w:eastAsia="宋体" w:cs="宋体"/>
          <w:b/>
          <w:bCs/>
          <w:spacing w:val="6"/>
          <w:sz w:val="24"/>
          <w:szCs w:val="24"/>
          <w:highlight w:val="none"/>
          <w:lang w:val="en-US" w:eastAsia="zh-CN"/>
        </w:rPr>
      </w:pPr>
      <w:r>
        <w:rPr>
          <w:rFonts w:hint="eastAsia" w:ascii="宋体" w:hAnsi="宋体" w:eastAsia="宋体" w:cs="宋体"/>
          <w:spacing w:val="6"/>
          <w:sz w:val="24"/>
          <w:szCs w:val="24"/>
          <w:lang w:val="en-US" w:eastAsia="zh-CN"/>
        </w:rPr>
        <w:t xml:space="preserve">7、▲具有预警设置功能，可配置外接显示屏的IP地址等信息；具有预警对象（机动车、非机动车、行人）、预警保持时间（机动车、非机动车、行人）、预警距离（机动车、非机动车、行人）设置；预警显示信息的字体颜色、大小、内容可设置；屏幕可支持区域划分，不同区域显示不同内容；屏幕可根据需求调整语音播报内容；</w:t>
      </w:r>
      <w:r>
        <w:rPr>
          <w:rFonts w:hint="eastAsia" w:ascii="宋体" w:hAnsi="宋体" w:eastAsia="宋体" w:cs="宋体"/>
          <w:b/>
          <w:bCs/>
          <w:spacing w:val="6"/>
          <w:sz w:val="24"/>
          <w:szCs w:val="24"/>
          <w:highlight w:val="none"/>
          <w:lang w:val="en-US" w:eastAsia="zh-CN"/>
        </w:rPr>
        <w:t xml:space="preserve">（</w:t>
      </w:r>
      <w:r>
        <w:rPr>
          <w:rFonts w:hint="eastAsia" w:ascii="宋体" w:hAnsi="宋体" w:cs="宋体"/>
          <w:b/>
          <w:bCs/>
          <w:spacing w:val="6"/>
          <w:sz w:val="24"/>
          <w:szCs w:val="24"/>
          <w:highlight w:val="none"/>
          <w:lang w:val="en-US" w:eastAsia="zh-CN"/>
        </w:rPr>
        <w:t xml:space="preserve">提供国家认可的检测机构出具的检测报告扫描件</w:t>
      </w:r>
      <w:r>
        <w:rPr>
          <w:rFonts w:hint="eastAsia" w:ascii="宋体" w:hAnsi="宋体" w:eastAsia="宋体" w:cs="宋体"/>
          <w:b/>
          <w:bCs/>
          <w:spacing w:val="6"/>
          <w:sz w:val="24"/>
          <w:szCs w:val="24"/>
          <w:highlight w:val="none"/>
          <w:lang w:val="en-US" w:eastAsia="zh-CN"/>
        </w:rPr>
        <w:t xml:space="preserve">加盖投标人公章）</w:t>
      </w:r>
      <w:r/>
    </w:p>
    <w:p>
      <w:pPr>
        <w:ind w:firstLine="504"/>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8、支持超速、道路安全预警事件进行抓拍、短录像并进行报警；</w:t>
      </w:r>
      <w:r/>
    </w:p>
    <w:p>
      <w:pPr>
        <w:ind w:firstLine="504"/>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9、设备安装高度在3m~6m时，雷达检测正向运动目标的盲区不大于5m（距安装点位的距离）；</w:t>
      </w:r>
      <w:r/>
    </w:p>
    <w:p>
      <w:pPr>
        <w:ind w:firstLine="504"/>
        <w:jc w:val="left"/>
        <w:spacing w:line="360" w:lineRule="auto"/>
        <w:rPr>
          <w:rFonts w:hint="eastAsia" w:ascii="宋体" w:hAnsi="宋体" w:eastAsia="宋体" w:cs="宋体"/>
          <w:b/>
          <w:bCs/>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10、▲支持屏幕内容在Web端实时显示；</w:t>
      </w:r>
      <w:r>
        <w:rPr>
          <w:rFonts w:hint="eastAsia" w:ascii="宋体" w:hAnsi="宋体" w:eastAsia="宋体" w:cs="宋体"/>
          <w:b/>
          <w:bCs/>
          <w:spacing w:val="6"/>
          <w:sz w:val="24"/>
          <w:szCs w:val="24"/>
          <w:highlight w:val="none"/>
          <w:lang w:val="en-US" w:eastAsia="zh-CN"/>
        </w:rPr>
        <w:t xml:space="preserve">（</w:t>
      </w:r>
      <w:r>
        <w:rPr>
          <w:rFonts w:hint="eastAsia" w:ascii="宋体" w:hAnsi="宋体" w:cs="宋体"/>
          <w:b/>
          <w:bCs/>
          <w:spacing w:val="6"/>
          <w:sz w:val="24"/>
          <w:szCs w:val="24"/>
          <w:highlight w:val="none"/>
          <w:lang w:val="en-US" w:eastAsia="zh-CN"/>
        </w:rPr>
        <w:t xml:space="preserve">提供国家认可的检测机构出具的检测报告扫描件</w:t>
      </w:r>
      <w:r>
        <w:rPr>
          <w:rFonts w:hint="eastAsia" w:ascii="宋体" w:hAnsi="宋体" w:eastAsia="宋体" w:cs="宋体"/>
          <w:b/>
          <w:bCs/>
          <w:spacing w:val="6"/>
          <w:sz w:val="24"/>
          <w:szCs w:val="24"/>
          <w:highlight w:val="none"/>
          <w:lang w:val="en-US" w:eastAsia="zh-CN"/>
        </w:rPr>
        <w:t xml:space="preserve">加盖投标人公章）</w:t>
      </w:r>
      <w:r/>
    </w:p>
    <w:p>
      <w:pPr>
        <w:ind w:firstLine="504"/>
        <w:jc w:val="left"/>
        <w:spacing w:line="360" w:lineRule="auto"/>
        <w:rPr>
          <w:rFonts w:hint="eastAsia" w:ascii="宋体" w:hAnsi="宋体" w:eastAsia="宋体" w:cs="宋体"/>
          <w:b/>
          <w:spacing w:val="6"/>
          <w:sz w:val="24"/>
          <w:szCs w:val="24"/>
          <w:lang w:val="en-US" w:eastAsia="zh-CN"/>
        </w:rPr>
      </w:pPr>
      <w:r>
        <w:rPr>
          <w:rFonts w:hint="eastAsia" w:ascii="宋体" w:hAnsi="宋体" w:eastAsia="宋体" w:cs="宋体"/>
          <w:spacing w:val="6"/>
          <w:sz w:val="24"/>
          <w:szCs w:val="24"/>
          <w:lang w:val="en-US" w:eastAsia="zh-CN"/>
        </w:rPr>
        <w:t xml:space="preserve">11</w:t>
      </w:r>
      <w:r>
        <w:rPr>
          <w:rFonts w:hint="eastAsia" w:ascii="宋体" w:hAnsi="宋体" w:cs="宋体"/>
          <w:spacing w:val="6"/>
          <w:sz w:val="24"/>
          <w:szCs w:val="24"/>
          <w:lang w:val="en-US" w:eastAsia="zh-CN"/>
        </w:rPr>
        <w:t xml:space="preserve">、</w:t>
      </w:r>
      <w:r>
        <w:rPr>
          <w:rFonts w:hint="eastAsia" w:ascii="宋体" w:hAnsi="宋体" w:eastAsia="宋体" w:cs="宋体"/>
          <w:spacing w:val="6"/>
          <w:sz w:val="24"/>
          <w:szCs w:val="24"/>
          <w:lang w:val="en-US" w:eastAsia="zh-CN"/>
        </w:rPr>
        <w:t xml:space="preserve">具有不低于1个RS232，2个RS485；1路DC12V电源输入接口，1路报警输出接口，1路DC48V/AC24V交直流自适应电源输入接口。</w:t>
      </w:r>
      <w:r/>
    </w:p>
    <w:p>
      <w:pPr>
        <w:pStyle w:val="1096"/>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11.2、交通信息发布屏</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1、物理间距：P10；</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2、像素组成：红绿双基色（支持红，绿，黄三种颜色显示）</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3、显示尺寸：1280mm×640mm</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4、亮度：≥6000cd/m2；</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5、显示内容：支持发布中文、英文、数字、简单图片；</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6、显示方式：支持静止显示、翻页显示、滚动显示；</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7、字体：支持16/24/32号字体；</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8、语音：支持万能语音播报；</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9、防护等级：IP54；</w:t>
      </w:r>
      <w:r/>
    </w:p>
    <w:p>
      <w:pPr>
        <w:pStyle w:val="1096"/>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11.3、4路智能终端管理盒</w:t>
      </w:r>
      <w:r/>
    </w:p>
    <w:p>
      <w:pPr>
        <w:ind w:firstLine="504"/>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同8.2、4路智能终端管理盒参数</w:t>
      </w:r>
      <w:r/>
    </w:p>
    <w:p>
      <w:pPr>
        <w:pStyle w:val="1096"/>
        <w:numPr>
          <w:ilvl w:val="0"/>
          <w:numId w:val="14"/>
        </w:numPr>
        <w:spacing w:line="360" w:lineRule="auto"/>
        <w:rPr>
          <w:rFonts w:hint="eastAsia" w:ascii="宋体" w:hAnsi="宋体" w:eastAsia="宋体" w:cs="宋体"/>
          <w:b/>
          <w:bCs/>
          <w:sz w:val="24"/>
          <w:szCs w:val="24"/>
          <w:lang w:eastAsia="zh-CN"/>
        </w:rPr>
      </w:pPr>
      <w:r>
        <w:rPr>
          <w:rFonts w:hint="eastAsia" w:ascii="宋体" w:hAnsi="宋体" w:eastAsia="宋体" w:cs="宋体"/>
          <w:b/>
          <w:bCs/>
          <w:highlight w:val="none"/>
        </w:rPr>
        <w:t xml:space="preserve">无人机方舱系统参数：</w:t>
      </w:r>
      <w:r/>
    </w:p>
    <w:tbl>
      <w:tblPr>
        <w:tblStyle w:val="813"/>
        <w:tblW w:w="87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100"/>
        <w:gridCol w:w="6850"/>
      </w:tblGrid>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序号</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设备名称</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技术参数要求</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无人机小型机场</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机场设备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尺寸：≤ 650mmx750mmx800mm（舱盖闭合，不含气象站）</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★重量：设备重量≤ 60kg</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机场IP防护等级：≥ IP55</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▲最大允许降落风速≥10 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最大作业半径：最大作业半径≥10公里</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设备最短作业间隔≤35min；</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设备内置备用电池，续航时间≥4小时</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设备内置传感器：内置风速、雨量、温度、湿度、水浸等传感器</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监控：支持双摄监控，可监控舱内和舱外情况</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开放协议：设备支持二次开发</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飞行器支持快速起飞，20秒内完成快速起飞</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配套无人机</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▲裸机重量：飞行器裸机重量≤1900 克（无配件，含电池）</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最大起飞重量：最大起飞重量≥2000 克</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尺寸≤380mmx420mmx220mm（L×W×H）</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轴距：对角线轴距 ≤500 毫米</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最大水平飞行速度：≥ 20 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最大上升速度≥6米/秒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最大下降速度≥6米/秒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作业阶段抗风能力≥12米/秒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▲最长飞行时间≥50分钟</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最大作业半径≥10公里</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支持单北斗定位（仅北斗版本硬件）：支持仅单北斗定位模式（仅北斗版本硬件）</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4G图传：飞行器支持使用4G增强图传</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相机类型：具备长焦可见光、中长焦可见光、广角可见光、热成像相机</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广角相机：相机CMOS≥1/2英寸，有效像素≥4000万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中长焦相机：具备中长焦相机，相机CMOS≥1/2英寸，有效像素≥4000万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▲长焦相机：具备长焦相机，相机CMOS≥1/2英寸，有效像素≥4000万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热成像相机：分辨率≥640*512</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可见光相机变焦倍数：变焦倍数≥100倍数字变焦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激光测距模块：最远正入射量程≥1000m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稳定系统：具备三轴机械增稳云台（俯仰、横滚、平移）</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设备保险服务</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包含两年机库及飞机设备的原厂保障服务。包含所投设备（所有零部件，易损件，电池等消耗品）的机损、维修服务。</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无人机三责险</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第三者责任险 ≥（100万/年），共计两年</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备用电池</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电池需适配所投无人机</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充电循环次数≥200次</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探照灯</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含支架安装尺寸：≤100 x 170 x 30 mm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▲重量：≤100g</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▲最大功耗：≥30W</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安装方式：快拆手拧螺丝，可同时安装喊话器</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6</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喊话器</w:t>
            </w:r>
            <w:r/>
          </w:p>
        </w:tc>
        <w:tc>
          <w:tcPr>
            <w:tcW w:w="6850" w:type="dxa"/>
            <w:vAlign w:val="top"/>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含支架安装尺寸：≤75 x 70 x 55 mm</w:t>
            </w:r>
            <w:r/>
          </w:p>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重量：≤100g</w:t>
            </w:r>
            <w:r/>
          </w:p>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一米处声压级：≥100dB</w:t>
            </w:r>
            <w:r/>
          </w:p>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广播距离：≥200m</w:t>
            </w:r>
            <w:r/>
          </w:p>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最大功耗：≥15W</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highlight w:val="none"/>
                <w:lang w:val="en-US" w:eastAsia="zh-CN" w:bidi="ar"/>
              </w:rPr>
              <w:t xml:space="preserve">安装方式：快拆手拧螺丝，可同时安装探照灯</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7</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增强图传模块</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增强图传模块可将设备接入4G 网络，实现增强图传等多项功能。</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8</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行业版遥控器</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天线： ≥ 4 天线</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工作频段：支持2.4G、5.8G图传</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显示器分辨率：地面站显示器应采用触摸屏，屏幕显示分辨率≥1920*1080p</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显示器亮度：显示器亮度≥1400尼特</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遥控器4G增强图传：支持4G增强图传模块，提升图传稳定性</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遥控器重量：不带外置电池重量≤1.2kg</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接口：支持的接口包括HDMI 1.4，SD3.0，Type-C 支持 OTG，支持 PD 充电，USB-A</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遥控器支持外置电池</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最大信号有效距离（无干扰、无遮挡）：≥ 20 公里（FCC）10公里（CE/SRRC/MIC）</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9</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无人机信号中继固定站</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中继站系统精度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基站定位误差：</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单点精度（未标定）：</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水平：1.5 米（RMS）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垂直：3.0 米（RMS）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星基差分精度：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收敛时间：20 分钟</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水平：30 厘米（RMS）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垂直：40 厘米（RMS）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网络 RTK 标定：</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水平：1.0 厘米（RMS）+ 1 ppm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垂直：3.0 厘米（RMS）+ 1 ppm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中继站图传工作频率：2.4 GHz/5.2 GHz/5.8 GHz</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功率≥10瓦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内置电池工作时间≥3小时</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工作环境温度：优于-20℃ 至 50°C</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11</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安装部署费用</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包含安装部署的人力、交通、物流、辅材等费用。</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12</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运维保养费用</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包含两年机库及飞机的运维保养服务，现场保养不低于一个季度一次。</w:t>
            </w:r>
            <w:r/>
          </w:p>
        </w:tc>
      </w:tr>
    </w:tbl>
    <w:p>
      <w:pPr>
        <w:pStyle w:val="1096"/>
        <w:numPr>
          <w:ilvl w:val="0"/>
          <w:numId w:val="14"/>
        </w:numPr>
        <w:spacing w:line="360" w:lineRule="auto"/>
        <w:rPr>
          <w:rFonts w:hint="eastAsia" w:ascii="宋体" w:hAnsi="宋体" w:eastAsia="宋体" w:cs="宋体"/>
          <w:b/>
          <w:bCs/>
          <w:sz w:val="24"/>
          <w:szCs w:val="24"/>
          <w:lang w:eastAsia="zh-CN"/>
        </w:rPr>
      </w:pPr>
      <w:r>
        <w:rPr>
          <w:rFonts w:hint="eastAsia" w:ascii="宋体" w:hAnsi="宋体" w:eastAsia="宋体" w:cs="宋体"/>
          <w:b/>
          <w:bCs/>
          <w:highlight w:val="none"/>
        </w:rPr>
        <w:t xml:space="preserve">行人过街预警系统参数：</w:t>
      </w:r>
      <w:r/>
    </w:p>
    <w:p>
      <w:pPr>
        <w:pStyle w:val="1096"/>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13.1、功能要求：</w:t>
      </w:r>
      <w:r/>
    </w:p>
    <w:p>
      <w:pPr>
        <w:pStyle w:val="843"/>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无线太阳能道钉</w:t>
      </w:r>
      <w:r>
        <w:rPr>
          <w:rFonts w:hint="eastAsia" w:ascii="宋体" w:hAnsi="宋体" w:cs="宋体"/>
          <w:sz w:val="24"/>
          <w:szCs w:val="24"/>
          <w:highlight w:val="none"/>
          <w:lang w:val="en-US" w:eastAsia="zh-CN"/>
        </w:rPr>
        <w:t xml:space="preserve">在人行横道位置保持</w:t>
      </w:r>
      <w:r>
        <w:rPr>
          <w:rFonts w:hint="eastAsia" w:ascii="宋体" w:hAnsi="宋体" w:eastAsia="宋体" w:cs="宋体"/>
          <w:sz w:val="24"/>
          <w:szCs w:val="24"/>
          <w:highlight w:val="none"/>
          <w:lang w:val="en-US" w:eastAsia="zh-CN"/>
        </w:rPr>
        <w:t xml:space="preserve">黄色频闪</w:t>
      </w:r>
      <w:r>
        <w:rPr>
          <w:rFonts w:hint="eastAsia" w:ascii="宋体" w:hAnsi="宋体" w:cs="宋体"/>
          <w:sz w:val="24"/>
          <w:szCs w:val="24"/>
          <w:highlight w:val="none"/>
          <w:lang w:val="en-US" w:eastAsia="zh-CN"/>
        </w:rPr>
        <w:t xml:space="preserve">用于警示过往车辆</w:t>
      </w:r>
      <w:r>
        <w:rPr>
          <w:rFonts w:hint="eastAsia" w:ascii="宋体" w:hAnsi="宋体" w:eastAsia="宋体" w:cs="宋体"/>
          <w:sz w:val="24"/>
          <w:szCs w:val="24"/>
          <w:highlight w:val="none"/>
          <w:lang w:val="en-US" w:eastAsia="zh-CN"/>
        </w:rPr>
        <w:t xml:space="preserve">。</w:t>
      </w:r>
      <w:r/>
    </w:p>
    <w:p>
      <w:pPr>
        <w:pStyle w:val="1096"/>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13.2、参数要求：</w:t>
      </w:r>
      <w:r/>
    </w:p>
    <w:p>
      <w:pPr>
        <w:pStyle w:val="84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1）产品应采用太阳能方式，采用高效单晶硅低照度太阳电池；</w:t>
      </w:r>
      <w:r/>
    </w:p>
    <w:p>
      <w:pPr>
        <w:pStyle w:val="84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2）根据行人过街检测单元路口情况，实时控制道钉变换不同的颜色，警示来往车辆；</w:t>
      </w:r>
      <w:r/>
    </w:p>
    <w:p>
      <w:pPr>
        <w:pStyle w:val="84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3）标准光强下，充电一天可工作≥48小时,电池充满电后可连续工作≥100小时；</w:t>
      </w:r>
      <w:r/>
    </w:p>
    <w:p>
      <w:pPr>
        <w:pStyle w:val="84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4）发光颜色：支持黄、白、红灯3种颜色；；</w:t>
      </w:r>
      <w:r/>
    </w:p>
    <w:p>
      <w:pPr>
        <w:pStyle w:val="84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5）LED数量不少于3颗，单颗LED额定电流法相发光强度大于8000mcd；</w:t>
      </w:r>
      <w:r/>
    </w:p>
    <w:p>
      <w:pPr>
        <w:pStyle w:val="84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6）抗压荷载≥500KN（静态）；</w:t>
      </w:r>
      <w:r/>
    </w:p>
    <w:p>
      <w:pPr>
        <w:pStyle w:val="84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7）安装后突出路面高度：不大于6mm；</w:t>
      </w:r>
      <w:r/>
    </w:p>
    <w:p>
      <w:pPr>
        <w:pStyle w:val="84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8）发光器件亮度1～8级可调节；</w:t>
      </w:r>
      <w:r/>
    </w:p>
    <w:p>
      <w:pPr>
        <w:pStyle w:val="84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9）道钉出光轴与地平夹角不大于6度；</w:t>
      </w:r>
      <w:r/>
    </w:p>
    <w:p>
      <w:pPr>
        <w:pStyle w:val="84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10）夜间可视距离不低于200m；</w:t>
      </w:r>
      <w:r/>
    </w:p>
    <w:p>
      <w:pPr>
        <w:pStyle w:val="84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11）工作温度范围：-20℃至75℃；</w:t>
      </w:r>
      <w:r/>
    </w:p>
    <w:p>
      <w:pPr>
        <w:pStyle w:val="84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12）外廓尺寸：直径≤150mm；</w:t>
      </w:r>
      <w:r/>
    </w:p>
    <w:p>
      <w:pPr>
        <w:pStyle w:val="84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13）防水等级：IP68；</w:t>
      </w:r>
      <w:r/>
    </w:p>
    <w:p>
      <w:pPr>
        <w:pStyle w:val="84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14）道钉支持可拆卸维护；</w:t>
      </w:r>
      <w:r/>
    </w:p>
    <w:p>
      <w:pPr>
        <w:pStyle w:val="84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15）控制方式：支持基于本地光照亮度自动开启；支持无线受控模式。</w:t>
      </w:r>
      <w:r/>
    </w:p>
    <w:p>
      <w:pPr>
        <w:pStyle w:val="84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16）使用寿命：不低于5年</w:t>
      </w:r>
      <w:r/>
    </w:p>
    <w:p>
      <w:pPr>
        <w:pStyle w:val="1096"/>
        <w:numPr>
          <w:ilvl w:val="0"/>
          <w:numId w:val="14"/>
        </w:numPr>
        <w:spacing w:line="360" w:lineRule="auto"/>
        <w:rPr>
          <w:rFonts w:hint="eastAsia" w:ascii="宋体" w:hAnsi="宋体" w:eastAsia="宋体" w:cs="宋体"/>
          <w:b/>
          <w:bCs/>
          <w:sz w:val="24"/>
          <w:szCs w:val="24"/>
          <w:lang w:eastAsia="zh-CN"/>
        </w:rPr>
      </w:pPr>
      <w:r>
        <w:rPr>
          <w:rFonts w:hint="eastAsia" w:ascii="宋体" w:hAnsi="宋体" w:eastAsia="宋体" w:cs="宋体"/>
          <w:b/>
          <w:bCs/>
          <w:highlight w:val="none"/>
          <w:lang w:val="en-US" w:eastAsia="zh-CN"/>
        </w:rPr>
        <w:t xml:space="preserve">标志、标线、护栏</w:t>
      </w:r>
      <w:r>
        <w:rPr>
          <w:rFonts w:hint="eastAsia" w:ascii="宋体" w:hAnsi="宋体" w:eastAsia="宋体" w:cs="宋体"/>
          <w:b/>
          <w:bCs/>
          <w:highlight w:val="none"/>
        </w:rPr>
        <w:t xml:space="preserve">参数：</w:t>
      </w:r>
      <w:r/>
    </w:p>
    <w:p>
      <w:pPr>
        <w:spacing w:line="360" w:lineRule="auto"/>
        <w:rPr>
          <w:rFonts w:hint="eastAsia" w:ascii="宋体" w:hAnsi="宋体" w:eastAsia="宋体" w:cs="宋体"/>
          <w:b/>
          <w:sz w:val="24"/>
          <w:szCs w:val="24"/>
          <w:lang w:eastAsia="zh-CN"/>
        </w:rPr>
      </w:pPr>
      <w:r>
        <w:rPr>
          <w:rFonts w:hint="eastAsia" w:ascii="宋体" w:hAnsi="宋体" w:cs="宋体"/>
          <w:b/>
          <w:bCs/>
          <w:sz w:val="24"/>
          <w:szCs w:val="24"/>
          <w:lang w:val="en-US" w:eastAsia="zh-CN"/>
        </w:rPr>
        <w:t xml:space="preserve">14.1</w:t>
      </w:r>
      <w:r>
        <w:rPr>
          <w:rFonts w:hint="eastAsia" w:ascii="宋体" w:hAnsi="宋体" w:eastAsia="宋体" w:cs="宋体"/>
          <w:b/>
          <w:bCs/>
          <w:sz w:val="24"/>
          <w:szCs w:val="24"/>
          <w:lang w:eastAsia="zh-CN"/>
        </w:rPr>
        <w:t xml:space="preserve">、</w:t>
      </w:r>
      <w:r>
        <w:rPr>
          <w:rFonts w:hint="eastAsia" w:ascii="宋体" w:hAnsi="宋体" w:eastAsia="宋体" w:cs="宋体"/>
          <w:b/>
          <w:sz w:val="24"/>
          <w:szCs w:val="24"/>
          <w:lang w:val="en-US" w:eastAsia="zh-CN"/>
        </w:rPr>
        <w:t xml:space="preserve">交通标志</w:t>
      </w:r>
      <w:r>
        <w:rPr>
          <w:rFonts w:hint="eastAsia" w:ascii="宋体" w:hAnsi="宋体" w:eastAsia="宋体" w:cs="宋体"/>
          <w:b/>
          <w:sz w:val="24"/>
          <w:szCs w:val="24"/>
          <w:lang w:eastAsia="zh-CN"/>
        </w:rPr>
        <w:t xml:space="preserve">：</w:t>
      </w:r>
      <w:r/>
    </w:p>
    <w:p>
      <w:pPr>
        <w:pStyle w:val="81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全线均采用反光标志，推荐采用III类反光膜。标志底板采用铝合金板，铝合金板牌号5052-O。为了保证标志版面的平整度，标志板厚度采用2mm，并均用铝合金龙骨加固。</w:t>
      </w:r>
      <w:r/>
    </w:p>
    <w:p>
      <w:pPr>
        <w:spacing w:line="360" w:lineRule="auto"/>
        <w:rPr>
          <w:rFonts w:hint="eastAsia" w:ascii="宋体" w:hAnsi="宋体" w:eastAsia="宋体" w:cs="宋体"/>
          <w:b/>
          <w:sz w:val="24"/>
          <w:szCs w:val="24"/>
          <w:lang w:eastAsia="zh-CN"/>
        </w:rPr>
      </w:pPr>
      <w:r>
        <w:rPr>
          <w:rFonts w:hint="eastAsia" w:ascii="宋体" w:hAnsi="宋体" w:cs="宋体"/>
          <w:b/>
          <w:bCs/>
          <w:sz w:val="24"/>
          <w:szCs w:val="24"/>
          <w:lang w:val="en-US" w:eastAsia="zh-CN"/>
        </w:rPr>
        <w:t xml:space="preserve">14.2</w:t>
      </w:r>
      <w:r>
        <w:rPr>
          <w:rFonts w:hint="eastAsia" w:ascii="宋体" w:hAnsi="宋体" w:eastAsia="宋体" w:cs="宋体"/>
          <w:b/>
          <w:bCs/>
          <w:sz w:val="24"/>
          <w:szCs w:val="24"/>
          <w:lang w:eastAsia="zh-CN"/>
        </w:rPr>
        <w:t xml:space="preserve">、</w:t>
      </w:r>
      <w:r>
        <w:rPr>
          <w:rFonts w:hint="eastAsia" w:ascii="宋体" w:hAnsi="宋体" w:eastAsia="宋体" w:cs="宋体"/>
          <w:b/>
          <w:sz w:val="24"/>
          <w:szCs w:val="24"/>
          <w:lang w:val="en-US" w:eastAsia="zh-CN"/>
        </w:rPr>
        <w:t xml:space="preserve">交通标线</w:t>
      </w:r>
      <w:r>
        <w:rPr>
          <w:rFonts w:hint="eastAsia" w:ascii="宋体" w:hAnsi="宋体" w:eastAsia="宋体" w:cs="宋体"/>
          <w:b/>
          <w:sz w:val="24"/>
          <w:szCs w:val="24"/>
          <w:lang w:eastAsia="zh-CN"/>
        </w:rPr>
        <w:t xml:space="preserve">：</w:t>
      </w:r>
      <w:r/>
    </w:p>
    <w:p>
      <w:pPr>
        <w:pStyle w:val="1096"/>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14.2.1、标线材料的选择</w:t>
      </w:r>
      <w:r/>
    </w:p>
    <w:p>
      <w:pPr>
        <w:ind w:firstLine="50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次设计采用热熔型标线，为了使标线在黑夜具备较好的清晰度，需要使用寿命长，反光效果好的材料做标线，使用的标线涂料，应具备与路面粘结力强，干燥迅速，以及良好的耐磨性，持久性，抗滑性等特点，做出的标线应具有良好的视认性，宽度一致，间隔相等，边缘等齐，线形规则，线条流畅。</w:t>
      </w:r>
      <w:r/>
    </w:p>
    <w:tbl>
      <w:tblPr>
        <w:tblStyle w:val="813"/>
        <w:tblW w:w="0" w:type="auto"/>
        <w:tblInd w:w="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81"/>
        <w:gridCol w:w="2381"/>
        <w:gridCol w:w="2381"/>
        <w:gridCol w:w="2382"/>
      </w:tblGrid>
      <w:tr>
        <w:trPr>
          <w:trHeight w:val="397"/>
        </w:trPr>
        <w:tc>
          <w:tcPr>
            <w:tcW w:w="2381" w:type="dxa"/>
            <w:vAlign w:val="center"/>
            <w:vMerge w:val="restart"/>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类别</w:t>
            </w:r>
            <w:r/>
          </w:p>
        </w:tc>
        <w:tc>
          <w:tcPr>
            <w:gridSpan w:val="2"/>
            <w:tcW w:w="4762"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逆反射亮度系数</w:t>
            </w:r>
            <w:r/>
          </w:p>
        </w:tc>
        <w:tc>
          <w:tcPr>
            <w:tcW w:w="2382" w:type="dxa"/>
            <w:vAlign w:val="center"/>
            <w:vMerge w:val="restart"/>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抗滑值</w:t>
            </w:r>
            <w:r/>
          </w:p>
        </w:tc>
      </w:tr>
      <w:tr>
        <w:trPr>
          <w:trHeight w:val="397"/>
        </w:trPr>
        <w:tc>
          <w:tcPr>
            <w:tcW w:w="2381" w:type="dxa"/>
            <w:vAlign w:val="center"/>
            <w:vMerge w:val="continue"/>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r>
            <w:r/>
          </w:p>
        </w:tc>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新施划标线</w:t>
            </w:r>
            <w:r/>
          </w:p>
        </w:tc>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正常使用期间</w:t>
            </w:r>
            <w:r/>
          </w:p>
        </w:tc>
        <w:tc>
          <w:tcPr>
            <w:tcW w:w="2382" w:type="dxa"/>
            <w:vAlign w:val="center"/>
            <w:vMerge w:val="continue"/>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r>
            <w:r/>
          </w:p>
        </w:tc>
      </w:tr>
      <w:tr>
        <w:trPr>
          <w:trHeight w:val="397"/>
        </w:trPr>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白色反光标线</w:t>
            </w:r>
            <w:r/>
          </w:p>
        </w:tc>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50mcd.</w:t>
            </w:r>
            <w:r>
              <w:rPr>
                <w:rFonts w:hint="eastAsia" w:ascii="宋体" w:hAnsi="宋体" w:eastAsia="宋体" w:cs="宋体"/>
                <w:spacing w:val="6"/>
                <w:sz w:val="24"/>
                <w:szCs w:val="24"/>
              </w:rPr>
              <w:t xml:space="preserve">m</w:t>
            </w:r>
            <w:r>
              <w:rPr>
                <w:rFonts w:hint="eastAsia" w:ascii="宋体" w:hAnsi="宋体" w:eastAsia="宋体" w:cs="宋体"/>
                <w:spacing w:val="6"/>
                <w:sz w:val="24"/>
                <w:szCs w:val="24"/>
                <w:vertAlign w:val="superscript"/>
              </w:rPr>
              <w:t xml:space="preserve">-2.</w:t>
            </w:r>
            <w:r>
              <w:rPr>
                <w:rFonts w:hint="eastAsia" w:ascii="宋体" w:hAnsi="宋体" w:eastAsia="宋体" w:cs="宋体"/>
                <w:spacing w:val="6"/>
                <w:sz w:val="24"/>
                <w:szCs w:val="24"/>
              </w:rPr>
              <w:t xml:space="preserve">1x</w:t>
            </w:r>
            <w:r>
              <w:rPr>
                <w:rFonts w:hint="eastAsia" w:ascii="宋体" w:hAnsi="宋体" w:eastAsia="宋体" w:cs="宋体"/>
                <w:spacing w:val="6"/>
                <w:sz w:val="24"/>
                <w:szCs w:val="24"/>
                <w:vertAlign w:val="superscript"/>
              </w:rPr>
              <w:t xml:space="preserve">-1</w:t>
            </w:r>
            <w:r/>
          </w:p>
        </w:tc>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w:t>
            </w:r>
            <w:r>
              <w:rPr>
                <w:rFonts w:hint="eastAsia" w:ascii="宋体" w:hAnsi="宋体" w:eastAsia="宋体" w:cs="宋体"/>
                <w:spacing w:val="6"/>
                <w:sz w:val="24"/>
                <w:szCs w:val="24"/>
                <w:lang w:val="en-US" w:eastAsia="zh-CN"/>
              </w:rPr>
              <w:t xml:space="preserve">120</w:t>
            </w:r>
            <w:r>
              <w:rPr>
                <w:rFonts w:hint="eastAsia" w:ascii="宋体" w:hAnsi="宋体" w:eastAsia="宋体" w:cs="宋体"/>
                <w:spacing w:val="6"/>
                <w:sz w:val="24"/>
                <w:szCs w:val="24"/>
              </w:rPr>
              <w:t xml:space="preserve">mcd.m</w:t>
            </w:r>
            <w:r>
              <w:rPr>
                <w:rFonts w:hint="eastAsia" w:ascii="宋体" w:hAnsi="宋体" w:eastAsia="宋体" w:cs="宋体"/>
                <w:spacing w:val="6"/>
                <w:sz w:val="24"/>
                <w:szCs w:val="24"/>
                <w:vertAlign w:val="superscript"/>
              </w:rPr>
              <w:t xml:space="preserve">-2.</w:t>
            </w:r>
            <w:r>
              <w:rPr>
                <w:rFonts w:hint="eastAsia" w:ascii="宋体" w:hAnsi="宋体" w:eastAsia="宋体" w:cs="宋体"/>
                <w:spacing w:val="6"/>
                <w:sz w:val="24"/>
                <w:szCs w:val="24"/>
              </w:rPr>
              <w:t xml:space="preserve">1x</w:t>
            </w:r>
            <w:r>
              <w:rPr>
                <w:rFonts w:hint="eastAsia" w:ascii="宋体" w:hAnsi="宋体" w:eastAsia="宋体" w:cs="宋体"/>
                <w:spacing w:val="6"/>
                <w:sz w:val="24"/>
                <w:szCs w:val="24"/>
                <w:vertAlign w:val="superscript"/>
              </w:rPr>
              <w:t xml:space="preserve">-1</w:t>
            </w:r>
            <w:r/>
          </w:p>
        </w:tc>
        <w:tc>
          <w:tcPr>
            <w:tcW w:w="2382"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45BPN</w:t>
            </w:r>
            <w:r/>
          </w:p>
        </w:tc>
      </w:tr>
      <w:tr>
        <w:trPr>
          <w:trHeight w:val="397"/>
        </w:trPr>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黄色反光标线</w:t>
            </w:r>
            <w:r/>
          </w:p>
        </w:tc>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w:t>
            </w:r>
            <w:r>
              <w:rPr>
                <w:rFonts w:hint="eastAsia" w:ascii="宋体" w:hAnsi="宋体" w:eastAsia="宋体" w:cs="宋体"/>
                <w:spacing w:val="6"/>
                <w:sz w:val="24"/>
                <w:szCs w:val="24"/>
                <w:lang w:val="en-US" w:eastAsia="zh-CN"/>
              </w:rPr>
              <w:t xml:space="preserve">15</w:t>
            </w:r>
            <w:r>
              <w:rPr>
                <w:rFonts w:hint="eastAsia" w:ascii="宋体" w:hAnsi="宋体" w:eastAsia="宋体" w:cs="宋体"/>
                <w:spacing w:val="6"/>
                <w:sz w:val="24"/>
                <w:szCs w:val="24"/>
              </w:rPr>
              <w:t xml:space="preserve">0mcd.m</w:t>
            </w:r>
            <w:r>
              <w:rPr>
                <w:rFonts w:hint="eastAsia" w:ascii="宋体" w:hAnsi="宋体" w:eastAsia="宋体" w:cs="宋体"/>
                <w:spacing w:val="6"/>
                <w:sz w:val="24"/>
                <w:szCs w:val="24"/>
                <w:vertAlign w:val="superscript"/>
              </w:rPr>
              <w:t xml:space="preserve">-2.</w:t>
            </w:r>
            <w:r>
              <w:rPr>
                <w:rFonts w:hint="eastAsia" w:ascii="宋体" w:hAnsi="宋体" w:eastAsia="宋体" w:cs="宋体"/>
                <w:spacing w:val="6"/>
                <w:sz w:val="24"/>
                <w:szCs w:val="24"/>
              </w:rPr>
              <w:t xml:space="preserve">1x</w:t>
            </w:r>
            <w:r>
              <w:rPr>
                <w:rFonts w:hint="eastAsia" w:ascii="宋体" w:hAnsi="宋体" w:eastAsia="宋体" w:cs="宋体"/>
                <w:spacing w:val="6"/>
                <w:sz w:val="24"/>
                <w:szCs w:val="24"/>
                <w:vertAlign w:val="superscript"/>
              </w:rPr>
              <w:t xml:space="preserve">-1</w:t>
            </w:r>
            <w:r/>
          </w:p>
        </w:tc>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w:t>
            </w:r>
            <w:r>
              <w:rPr>
                <w:rFonts w:hint="eastAsia" w:ascii="宋体" w:hAnsi="宋体" w:eastAsia="宋体" w:cs="宋体"/>
                <w:spacing w:val="6"/>
                <w:sz w:val="24"/>
                <w:szCs w:val="24"/>
                <w:lang w:val="en-US" w:eastAsia="zh-CN"/>
              </w:rPr>
              <w:t xml:space="preserve">7</w:t>
            </w:r>
            <w:r>
              <w:rPr>
                <w:rFonts w:hint="eastAsia" w:ascii="宋体" w:hAnsi="宋体" w:eastAsia="宋体" w:cs="宋体"/>
                <w:spacing w:val="6"/>
                <w:sz w:val="24"/>
                <w:szCs w:val="24"/>
              </w:rPr>
              <w:t xml:space="preserve">0mcd.m</w:t>
            </w:r>
            <w:r>
              <w:rPr>
                <w:rFonts w:hint="eastAsia" w:ascii="宋体" w:hAnsi="宋体" w:eastAsia="宋体" w:cs="宋体"/>
                <w:spacing w:val="6"/>
                <w:sz w:val="24"/>
                <w:szCs w:val="24"/>
                <w:vertAlign w:val="superscript"/>
              </w:rPr>
              <w:t xml:space="preserve">-2.</w:t>
            </w:r>
            <w:r>
              <w:rPr>
                <w:rFonts w:hint="eastAsia" w:ascii="宋体" w:hAnsi="宋体" w:eastAsia="宋体" w:cs="宋体"/>
                <w:spacing w:val="6"/>
                <w:sz w:val="24"/>
                <w:szCs w:val="24"/>
              </w:rPr>
              <w:t xml:space="preserve">1x</w:t>
            </w:r>
            <w:r>
              <w:rPr>
                <w:rFonts w:hint="eastAsia" w:ascii="宋体" w:hAnsi="宋体" w:eastAsia="宋体" w:cs="宋体"/>
                <w:spacing w:val="6"/>
                <w:sz w:val="24"/>
                <w:szCs w:val="24"/>
                <w:vertAlign w:val="superscript"/>
              </w:rPr>
              <w:t xml:space="preserve">-1</w:t>
            </w:r>
            <w:r/>
          </w:p>
        </w:tc>
        <w:tc>
          <w:tcPr>
            <w:tcW w:w="2382"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45BPN</w:t>
            </w:r>
            <w:r/>
          </w:p>
        </w:tc>
      </w:tr>
    </w:tbl>
    <w:p>
      <w:pPr>
        <w:pStyle w:val="1096"/>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14.2.2、标线的施工要求如下：</w:t>
      </w:r>
      <w:r/>
    </w:p>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1、标线施工前，应对标线、图形、文字的位置进行测量放线，确定出精确位置后，再按照图复核无误后才能进行划线。</w:t>
      </w:r>
      <w:r/>
    </w:p>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2、标线必须宽度一致、间隔相等、线性规则、边缘整齐、线条流畅，标线涂层厚度调匀，无起泡、开裂、发粘、脱落等现象。</w:t>
      </w:r>
      <w:r/>
    </w:p>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3、标线的端线与边线应垂直，误差≯5°。</w:t>
      </w:r>
      <w:r/>
    </w:p>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4、涂料中预混玻璃珠含量应满足下表规定：</w:t>
      </w:r>
      <w:r/>
    </w:p>
    <w:tbl>
      <w:tblPr>
        <w:tblStyle w:val="839"/>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0"/>
        <w:gridCol w:w="1800"/>
        <w:gridCol w:w="2381"/>
        <w:gridCol w:w="1607"/>
        <w:gridCol w:w="1748"/>
      </w:tblGrid>
      <w:tr>
        <w:trPr>
          <w:jc w:val="center"/>
          <w:trHeight w:val="561"/>
        </w:trPr>
        <w:tc>
          <w:tcPr>
            <w:tcW w:w="1860"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类别</w:t>
            </w:r>
            <w:r/>
          </w:p>
        </w:tc>
        <w:tc>
          <w:tcPr>
            <w:tcW w:w="1800"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型号</w:t>
            </w:r>
            <w:r/>
          </w:p>
        </w:tc>
        <w:tc>
          <w:tcPr>
            <w:tcW w:w="2381"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涂料中预混玻璃珠</w:t>
            </w:r>
            <w:r/>
          </w:p>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含量（质量百分比）</w:t>
            </w:r>
            <w:r/>
          </w:p>
        </w:tc>
        <w:tc>
          <w:tcPr>
            <w:tcW w:w="1607"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状态</w:t>
            </w:r>
            <w:r/>
          </w:p>
        </w:tc>
        <w:tc>
          <w:tcPr>
            <w:tcW w:w="1748"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形成表现后是否具有振动功能</w:t>
            </w:r>
            <w:r/>
          </w:p>
        </w:tc>
      </w:tr>
      <w:tr>
        <w:trPr>
          <w:jc w:val="center"/>
          <w:trHeight w:val="334"/>
        </w:trPr>
        <w:tc>
          <w:tcPr>
            <w:tcW w:w="1860"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热熔</w:t>
            </w:r>
            <w:r/>
          </w:p>
        </w:tc>
        <w:tc>
          <w:tcPr>
            <w:tcW w:w="1800"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反光型</w:t>
            </w:r>
            <w:r/>
          </w:p>
        </w:tc>
        <w:tc>
          <w:tcPr>
            <w:tcW w:w="2381"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30%</w:t>
            </w:r>
            <w:r/>
          </w:p>
        </w:tc>
        <w:tc>
          <w:tcPr>
            <w:tcW w:w="1607"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固态</w:t>
            </w:r>
            <w:r/>
          </w:p>
        </w:tc>
        <w:tc>
          <w:tcPr>
            <w:tcW w:w="1748"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否</w:t>
            </w:r>
            <w:r/>
          </w:p>
        </w:tc>
      </w:tr>
    </w:tbl>
    <w:p>
      <w:pPr>
        <w:ind w:firstLine="473"/>
        <w:spacing w:line="360" w:lineRule="auto"/>
        <w:rPr>
          <w:rFonts w:hint="eastAsia" w:ascii="宋体" w:hAnsi="宋体" w:eastAsia="宋体" w:cs="宋体"/>
          <w:spacing w:val="6"/>
          <w:sz w:val="24"/>
          <w:szCs w:val="24"/>
        </w:rPr>
      </w:pPr>
      <w:r>
        <w:rPr>
          <w:rFonts w:hint="eastAsia" w:ascii="Calibri" w:hAnsi="Calibri" w:eastAsia="宋体" w:cs="Times New Roman"/>
          <w:spacing w:val="6"/>
          <w:sz w:val="24"/>
          <w:highlight w:val="none"/>
        </w:rPr>
        <w:t xml:space="preserve">★</w:t>
      </w:r>
      <w:r>
        <w:rPr>
          <w:rFonts w:hint="eastAsia" w:ascii="宋体" w:hAnsi="宋体" w:eastAsia="宋体" w:cs="宋体"/>
          <w:spacing w:val="6"/>
          <w:sz w:val="24"/>
          <w:szCs w:val="24"/>
        </w:rPr>
        <w:t xml:space="preserve">5、标线表面撒玻璃微珠，应分布均匀，含量为18%-25%，玻璃珠的性能应符合现行国家标准《路面标线用玻璃珠》（GB/T 24722）。</w:t>
      </w:r>
      <w:r/>
    </w:p>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6、标线的端线与边线应垂直，误差≯±5°，其他特殊标线，其角度与设计值误差≯±3°。</w:t>
      </w:r>
      <w:r/>
    </w:p>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7、热熔标线涂层厚度</w:t>
      </w:r>
      <w:r>
        <w:rPr>
          <w:rFonts w:hint="eastAsia" w:ascii="宋体" w:hAnsi="宋体" w:eastAsia="宋体" w:cs="宋体"/>
          <w:spacing w:val="6"/>
          <w:sz w:val="24"/>
          <w:szCs w:val="24"/>
          <w:lang w:eastAsia="zh-CN"/>
        </w:rPr>
        <w:t xml:space="preserve">为</w:t>
      </w:r>
      <w:r>
        <w:rPr>
          <w:rFonts w:hint="eastAsia" w:ascii="宋体" w:hAnsi="宋体" w:eastAsia="宋体" w:cs="宋体"/>
          <w:spacing w:val="6"/>
          <w:sz w:val="24"/>
          <w:szCs w:val="24"/>
          <w:lang w:val="en-US" w:eastAsia="zh-CN"/>
        </w:rPr>
        <w:t xml:space="preserve">1.8+0.2</w:t>
      </w:r>
      <w:r>
        <w:rPr>
          <w:rFonts w:hint="eastAsia" w:ascii="宋体" w:hAnsi="宋体" w:eastAsia="宋体" w:cs="宋体"/>
          <w:spacing w:val="6"/>
          <w:sz w:val="24"/>
          <w:szCs w:val="24"/>
        </w:rPr>
        <w:t xml:space="preserve">mm。</w:t>
      </w:r>
      <w:r/>
    </w:p>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lang w:val="en-US" w:eastAsia="zh-CN"/>
        </w:rPr>
        <w:t xml:space="preserve">8</w:t>
      </w:r>
      <w:r>
        <w:rPr>
          <w:rFonts w:hint="eastAsia" w:ascii="宋体" w:hAnsi="宋体" w:eastAsia="宋体" w:cs="宋体"/>
          <w:spacing w:val="6"/>
          <w:sz w:val="24"/>
          <w:szCs w:val="24"/>
        </w:rPr>
        <w:t xml:space="preserve">、</w:t>
      </w:r>
      <w:r>
        <w:rPr>
          <w:rFonts w:hint="eastAsia" w:ascii="宋体" w:hAnsi="宋体" w:eastAsia="宋体" w:cs="宋体"/>
          <w:spacing w:val="6"/>
          <w:sz w:val="24"/>
          <w:szCs w:val="24"/>
          <w:lang w:eastAsia="zh-CN"/>
        </w:rPr>
        <w:t xml:space="preserve">防滑标线的抗滑性BPN值应不小于45</w:t>
      </w:r>
      <w:r>
        <w:rPr>
          <w:rFonts w:hint="eastAsia" w:ascii="宋体" w:hAnsi="宋体" w:eastAsia="宋体" w:cs="宋体"/>
          <w:spacing w:val="6"/>
          <w:sz w:val="24"/>
          <w:szCs w:val="24"/>
        </w:rPr>
        <w:t xml:space="preserve">。</w:t>
      </w:r>
      <w:r/>
    </w:p>
    <w:p>
      <w:pPr>
        <w:spacing w:line="360" w:lineRule="auto"/>
        <w:rPr>
          <w:rFonts w:hint="eastAsia" w:ascii="宋体" w:hAnsi="宋体" w:eastAsia="宋体" w:cs="宋体"/>
          <w:b/>
          <w:sz w:val="24"/>
          <w:szCs w:val="24"/>
          <w:lang w:eastAsia="zh-CN"/>
        </w:rPr>
      </w:pPr>
      <w:r>
        <w:rPr>
          <w:rFonts w:hint="eastAsia" w:ascii="宋体" w:hAnsi="宋体" w:cs="宋体"/>
          <w:b/>
          <w:bCs/>
          <w:sz w:val="24"/>
          <w:szCs w:val="24"/>
          <w:lang w:val="en-US" w:eastAsia="zh-CN"/>
        </w:rPr>
        <w:t xml:space="preserve">14.3</w:t>
      </w:r>
      <w:r>
        <w:rPr>
          <w:rFonts w:hint="eastAsia" w:ascii="宋体" w:hAnsi="宋体" w:eastAsia="宋体" w:cs="宋体"/>
          <w:b/>
          <w:bCs/>
          <w:sz w:val="24"/>
          <w:szCs w:val="24"/>
          <w:lang w:eastAsia="zh-CN"/>
        </w:rPr>
        <w:t xml:space="preserve">、</w:t>
      </w:r>
      <w:r>
        <w:rPr>
          <w:rFonts w:hint="eastAsia" w:ascii="宋体" w:hAnsi="宋体" w:eastAsia="宋体" w:cs="宋体"/>
          <w:b/>
          <w:sz w:val="24"/>
          <w:szCs w:val="24"/>
          <w:lang w:val="en-US" w:eastAsia="zh-CN"/>
        </w:rPr>
        <w:t xml:space="preserve">防撞护栏</w:t>
      </w:r>
      <w:r>
        <w:rPr>
          <w:rFonts w:hint="eastAsia" w:ascii="宋体" w:hAnsi="宋体" w:eastAsia="宋体" w:cs="宋体"/>
          <w:b/>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w:t>
      </w:r>
      <w:r>
        <w:rPr>
          <w:rFonts w:hint="eastAsia" w:ascii="宋体" w:hAnsi="宋体" w:eastAsia="宋体" w:cs="宋体"/>
          <w:bCs/>
          <w:sz w:val="24"/>
          <w:szCs w:val="24"/>
          <w:lang w:eastAsia="zh-CN"/>
        </w:rPr>
        <w:t xml:space="preserve">距</w:t>
      </w:r>
      <w:r>
        <w:rPr>
          <w:rFonts w:hint="eastAsia" w:ascii="宋体" w:hAnsi="宋体" w:eastAsia="宋体" w:cs="宋体"/>
          <w:bCs/>
          <w:sz w:val="24"/>
          <w:szCs w:val="24"/>
        </w:rPr>
        <w:t xml:space="preserve">桥梁中心</w:t>
      </w:r>
      <w:r>
        <w:rPr>
          <w:rFonts w:hint="eastAsia" w:ascii="宋体" w:hAnsi="宋体" w:eastAsia="宋体" w:cs="宋体"/>
          <w:bCs/>
          <w:sz w:val="24"/>
          <w:szCs w:val="24"/>
          <w:lang w:val="en-US" w:eastAsia="zh-CN"/>
        </w:rPr>
        <w:t xml:space="preserve">4.25m</w:t>
      </w:r>
      <w:r>
        <w:rPr>
          <w:rFonts w:hint="eastAsia" w:ascii="宋体" w:hAnsi="宋体" w:eastAsia="宋体" w:cs="宋体"/>
          <w:bCs/>
          <w:sz w:val="24"/>
          <w:szCs w:val="24"/>
        </w:rPr>
        <w:t xml:space="preserve">处增设SAm级双防撞面钢护栏，护栏全宽50cm，栏杆总高度1.</w:t>
      </w:r>
      <w:r>
        <w:rPr>
          <w:rFonts w:hint="eastAsia" w:ascii="宋体" w:hAnsi="宋体" w:eastAsia="宋体" w:cs="宋体"/>
          <w:bCs/>
          <w:sz w:val="24"/>
          <w:szCs w:val="24"/>
          <w:lang w:val="en-US" w:eastAsia="zh-CN"/>
        </w:rPr>
        <w:t xml:space="preserve">23</w:t>
      </w:r>
      <w:r>
        <w:rPr>
          <w:rFonts w:hint="eastAsia" w:ascii="宋体" w:hAnsi="宋体" w:eastAsia="宋体" w:cs="宋体"/>
          <w:bCs/>
          <w:sz w:val="24"/>
          <w:szCs w:val="24"/>
        </w:rPr>
        <w:t xml:space="preserve">m（1.</w:t>
      </w:r>
      <w:r>
        <w:rPr>
          <w:rFonts w:hint="eastAsia" w:ascii="宋体" w:hAnsi="宋体" w:eastAsia="宋体" w:cs="宋体"/>
          <w:bCs/>
          <w:sz w:val="24"/>
          <w:szCs w:val="24"/>
          <w:lang w:val="en-US" w:eastAsia="zh-CN"/>
        </w:rPr>
        <w:t xml:space="preserve">03</w:t>
      </w:r>
      <w:r>
        <w:rPr>
          <w:rFonts w:hint="eastAsia" w:ascii="宋体" w:hAnsi="宋体" w:eastAsia="宋体" w:cs="宋体"/>
          <w:bCs/>
          <w:sz w:val="24"/>
          <w:szCs w:val="24"/>
        </w:rPr>
        <w:t xml:space="preserve">m栏杆+0.</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m混凝土底座）；栏杆底座为（宽）50×（高）30cm的混凝土护栏底座，高度不包含铣刨的10cm沥青混凝土铺装层厚度。</w:t>
      </w:r>
      <w:r/>
    </w:p>
    <w:p>
      <w:pPr>
        <w:ind w:firstLine="480"/>
        <w:jc w:val="left"/>
        <w:spacing w:line="360" w:lineRule="auto"/>
        <w:rPr>
          <w:rFonts w:hint="eastAsia" w:ascii="宋体" w:hAnsi="宋体" w:eastAsia="宋体" w:cs="宋体"/>
          <w:b/>
          <w:spacing w:val="6"/>
          <w:sz w:val="24"/>
          <w:szCs w:val="24"/>
          <w:lang w:val="en-US" w:eastAsia="zh-CN"/>
        </w:rPr>
      </w:pPr>
      <w:r>
        <w:rPr>
          <w:rFonts w:hint="eastAsia" w:ascii="宋体" w:hAnsi="宋体" w:eastAsia="宋体" w:cs="宋体"/>
          <w:bCs/>
          <w:sz w:val="24"/>
          <w:szCs w:val="24"/>
        </w:rPr>
        <w:t xml:space="preserve">施工流程：铣刨</w:t>
      </w:r>
      <w:r>
        <w:rPr>
          <w:rFonts w:hint="eastAsia" w:ascii="宋体" w:hAnsi="宋体" w:eastAsia="宋体" w:cs="宋体"/>
          <w:bCs/>
          <w:sz w:val="24"/>
          <w:szCs w:val="24"/>
          <w:lang w:eastAsia="zh-CN"/>
        </w:rPr>
        <w:t xml:space="preserve">距</w:t>
      </w:r>
      <w:r>
        <w:rPr>
          <w:rFonts w:hint="eastAsia" w:ascii="宋体" w:hAnsi="宋体" w:eastAsia="宋体" w:cs="宋体"/>
          <w:bCs/>
          <w:sz w:val="24"/>
          <w:szCs w:val="24"/>
        </w:rPr>
        <w:t xml:space="preserve">桥梁中心线</w:t>
      </w:r>
      <w:r>
        <w:rPr>
          <w:rFonts w:hint="eastAsia" w:ascii="宋体" w:hAnsi="宋体" w:eastAsia="宋体" w:cs="宋体"/>
          <w:bCs/>
          <w:sz w:val="24"/>
          <w:szCs w:val="24"/>
          <w:lang w:eastAsia="zh-CN"/>
        </w:rPr>
        <w:t xml:space="preserve">两侧</w:t>
      </w:r>
      <w:r>
        <w:rPr>
          <w:rFonts w:hint="eastAsia" w:ascii="宋体" w:hAnsi="宋体" w:eastAsia="宋体" w:cs="宋体"/>
          <w:bCs/>
          <w:sz w:val="24"/>
          <w:szCs w:val="24"/>
          <w:lang w:val="en-US" w:eastAsia="zh-CN"/>
        </w:rPr>
        <w:t xml:space="preserve">4.25m~4.75m范围50</w:t>
      </w:r>
      <w:r>
        <w:rPr>
          <w:rFonts w:hint="eastAsia" w:ascii="宋体" w:hAnsi="宋体" w:eastAsia="宋体" w:cs="宋体"/>
          <w:bCs/>
          <w:sz w:val="24"/>
          <w:szCs w:val="24"/>
        </w:rPr>
        <w:t xml:space="preserve">cm</w:t>
      </w:r>
      <w:r>
        <w:rPr>
          <w:rFonts w:hint="eastAsia" w:ascii="宋体" w:hAnsi="宋体" w:eastAsia="宋体" w:cs="宋体"/>
          <w:bCs/>
          <w:sz w:val="24"/>
          <w:szCs w:val="24"/>
          <w:lang w:eastAsia="zh-CN"/>
        </w:rPr>
        <w:t xml:space="preserve">宽</w:t>
      </w:r>
      <w:r>
        <w:rPr>
          <w:rFonts w:hint="eastAsia" w:ascii="宋体" w:hAnsi="宋体" w:eastAsia="宋体" w:cs="宋体"/>
          <w:bCs/>
          <w:sz w:val="24"/>
          <w:szCs w:val="24"/>
        </w:rPr>
        <w:t xml:space="preserve">沥青铺装层，混凝土调平层顶面凿毛，凹凸差≥6mm，植入D</w:t>
      </w:r>
      <w:r>
        <w:rPr>
          <w:rFonts w:hint="eastAsia" w:ascii="宋体" w:hAnsi="宋体" w:eastAsia="宋体" w:cs="宋体"/>
          <w:bCs/>
          <w:sz w:val="24"/>
          <w:szCs w:val="24"/>
          <w:lang w:val="en-US" w:eastAsia="zh-CN"/>
        </w:rPr>
        <w:t xml:space="preserve">16</w:t>
      </w:r>
      <w:r>
        <w:rPr>
          <w:rFonts w:hint="eastAsia" w:ascii="宋体" w:hAnsi="宋体" w:eastAsia="宋体" w:cs="宋体"/>
          <w:bCs/>
          <w:sz w:val="24"/>
          <w:szCs w:val="24"/>
        </w:rPr>
        <w:t xml:space="preserve">钢筋，植入深度20cm；绑扎底座钢筋，安装护栏预埋件，浇筑底座混凝土。 </w:t>
      </w:r>
      <w:r/>
    </w:p>
    <w:p>
      <w:pPr>
        <w:spacing w:line="360" w:lineRule="auto"/>
        <w:rPr>
          <w:rFonts w:hint="eastAsia" w:ascii="宋体" w:hAnsi="宋体" w:eastAsia="宋体" w:cs="宋体"/>
          <w:b/>
          <w:sz w:val="24"/>
          <w:szCs w:val="24"/>
          <w:lang w:eastAsia="zh-CN"/>
        </w:rPr>
      </w:pPr>
      <w:r>
        <w:rPr>
          <w:rFonts w:hint="eastAsia" w:ascii="宋体" w:hAnsi="宋体" w:cs="宋体"/>
          <w:b/>
          <w:bCs/>
          <w:sz w:val="24"/>
          <w:szCs w:val="24"/>
          <w:lang w:val="en-US" w:eastAsia="zh-CN"/>
        </w:rPr>
        <w:t xml:space="preserve">14.4</w:t>
      </w:r>
      <w:r>
        <w:rPr>
          <w:rFonts w:hint="eastAsia" w:ascii="宋体" w:hAnsi="宋体" w:eastAsia="宋体" w:cs="宋体"/>
          <w:b/>
          <w:bCs/>
          <w:sz w:val="24"/>
          <w:szCs w:val="24"/>
          <w:lang w:eastAsia="zh-CN"/>
        </w:rPr>
        <w:t xml:space="preserve">、</w:t>
      </w:r>
      <w:r>
        <w:rPr>
          <w:rFonts w:hint="eastAsia" w:ascii="宋体" w:hAnsi="宋体" w:eastAsia="宋体" w:cs="宋体"/>
          <w:b/>
          <w:sz w:val="24"/>
          <w:szCs w:val="24"/>
          <w:lang w:val="en-US" w:eastAsia="zh-CN"/>
        </w:rPr>
        <w:t xml:space="preserve">隔离栏</w:t>
      </w:r>
      <w:r>
        <w:rPr>
          <w:rFonts w:hint="eastAsia" w:ascii="宋体" w:hAnsi="宋体" w:eastAsia="宋体" w:cs="宋体"/>
          <w:b/>
          <w:sz w:val="24"/>
          <w:szCs w:val="24"/>
          <w:lang w:eastAsia="zh-CN"/>
        </w:rPr>
        <w:t xml:space="preserve">：</w:t>
      </w:r>
      <w:r/>
    </w:p>
    <w:p>
      <w:pPr>
        <w:pStyle w:val="1096"/>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护栏钢构件采用热浸镀锌并静电喷塑防腐，上粉均匀无露青，保温固化达标，确保产品有良好的</w:t>
      </w:r>
      <w:r>
        <w:rPr>
          <w:rFonts w:hint="eastAsia" w:ascii="宋体" w:hAnsi="宋体" w:eastAsia="宋体" w:cs="宋体"/>
          <w:spacing w:val="6"/>
          <w:sz w:val="24"/>
          <w:szCs w:val="24"/>
          <w:highlight w:val="none"/>
          <w:lang w:val="en-US" w:eastAsia="zh-CN"/>
        </w:rPr>
        <w:t xml:space="preserve">耐候性</w:t>
      </w:r>
      <w:r>
        <w:rPr>
          <w:rFonts w:hint="eastAsia" w:ascii="宋体" w:hAnsi="宋体" w:eastAsia="宋体" w:cs="宋体"/>
          <w:spacing w:val="6"/>
          <w:sz w:val="24"/>
          <w:szCs w:val="24"/>
          <w:lang w:val="en-US" w:eastAsia="zh-CN"/>
        </w:rPr>
        <w:t xml:space="preserve">及长期户外不生锈，镀锌量不小于275g/m2，厚度不低于39um，喷塑层厚度不低于76um。紧固件需进行防腐处理，镀锌量不小于120g/m2，厚度不低于17um，喷塑层厚度不低于76um。</w:t>
      </w:r>
      <w:r/>
    </w:p>
    <w:p>
      <w:pPr>
        <w:pStyle w:val="1096"/>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每处隔离栏端部设置一根道口标柱。中央隔离栏临中分带开口的端部15m范围采用降低段，其余路段为一般段。</w:t>
      </w:r>
      <w:r/>
    </w:p>
    <w:p>
      <w:pPr>
        <w:pStyle w:val="1096"/>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隔离栏与防撞护栏衔接处立柱采用抱箍或其他方式连接。</w:t>
      </w:r>
      <w:r/>
    </w:p>
    <w:p>
      <w:pPr>
        <w:spacing w:line="360" w:lineRule="auto"/>
        <w:rPr>
          <w:rFonts w:hint="eastAsia" w:ascii="宋体" w:hAnsi="宋体" w:eastAsia="宋体" w:cs="宋体"/>
          <w:b/>
          <w:sz w:val="24"/>
          <w:szCs w:val="24"/>
          <w:lang w:eastAsia="zh-CN"/>
        </w:rPr>
      </w:pPr>
      <w:r>
        <w:rPr>
          <w:rFonts w:hint="eastAsia" w:ascii="宋体" w:hAnsi="宋体" w:cs="宋体"/>
          <w:b/>
          <w:bCs/>
          <w:sz w:val="24"/>
          <w:szCs w:val="24"/>
          <w:lang w:val="en-US" w:eastAsia="zh-CN"/>
        </w:rPr>
        <w:t xml:space="preserve">14.5</w:t>
      </w:r>
      <w:r>
        <w:rPr>
          <w:rFonts w:hint="eastAsia" w:ascii="宋体" w:hAnsi="宋体" w:eastAsia="宋体" w:cs="宋体"/>
          <w:b/>
          <w:bCs/>
          <w:sz w:val="24"/>
          <w:szCs w:val="24"/>
          <w:lang w:eastAsia="zh-CN"/>
        </w:rPr>
        <w:t xml:space="preserve">、</w:t>
      </w:r>
      <w:r>
        <w:rPr>
          <w:rFonts w:hint="eastAsia" w:ascii="宋体" w:hAnsi="宋体" w:eastAsia="宋体" w:cs="宋体"/>
          <w:b/>
          <w:sz w:val="24"/>
          <w:szCs w:val="24"/>
          <w:lang w:val="en-US" w:eastAsia="zh-CN"/>
        </w:rPr>
        <w:t xml:space="preserve">轮廓标</w:t>
      </w:r>
      <w:r>
        <w:rPr>
          <w:rFonts w:hint="eastAsia" w:ascii="宋体" w:hAnsi="宋体" w:eastAsia="宋体" w:cs="宋体"/>
          <w:b/>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附着式轮廓标由反射器和铝合金板托架组成，</w:t>
      </w:r>
      <w:r>
        <w:rPr>
          <w:rFonts w:hint="eastAsia" w:ascii="宋体" w:hAnsi="宋体" w:eastAsia="宋体" w:cs="宋体"/>
          <w:sz w:val="24"/>
          <w:szCs w:val="24"/>
          <w:lang w:eastAsia="zh-CN"/>
        </w:rPr>
        <w:t xml:space="preserve">铝合金板厚度≥</w:t>
      </w:r>
      <w:r>
        <w:rPr>
          <w:rFonts w:hint="eastAsia" w:ascii="宋体" w:hAnsi="宋体" w:eastAsia="宋体" w:cs="宋体"/>
          <w:sz w:val="24"/>
          <w:szCs w:val="24"/>
          <w:lang w:val="en-US" w:eastAsia="zh-CN"/>
        </w:rPr>
        <w:t xml:space="preserve">2mm，附着式轮廓标通过连接螺栓固定在波形梁护栏的凹槽中或砼护栏身上。反射器为长方形。</w:t>
      </w:r>
      <w:r>
        <w:rPr>
          <w:rFonts w:hint="eastAsia" w:ascii="宋体" w:hAnsi="宋体" w:eastAsia="宋体" w:cs="宋体"/>
          <w:sz w:val="24"/>
          <w:szCs w:val="24"/>
        </w:rPr>
        <w:t xml:space="preserve">反光片的反光等级为IV类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反射器均以微棱镜型反射器为反光元件。</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外观质量</w:t>
      </w:r>
      <w:r/>
    </w:p>
    <w:p>
      <w:pPr>
        <w:ind w:firstLine="480"/>
        <w:spacing w:line="360" w:lineRule="auto"/>
        <w:rPr>
          <w:rFonts w:hint="eastAsia" w:ascii="宋体" w:hAnsi="宋体" w:eastAsia="宋体" w:cs="宋体"/>
          <w:sz w:val="24"/>
          <w:szCs w:val="24"/>
          <w:lang w:eastAsia="zh-CN"/>
        </w:rPr>
        <w:outlineLvl w:val="2"/>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轮廓标各部分应成型完整，表面平整光滑，表面不平度不应大于</w:t>
      </w:r>
      <w:r>
        <w:rPr>
          <w:rFonts w:hint="eastAsia" w:ascii="宋体" w:hAnsi="宋体" w:eastAsia="宋体" w:cs="宋体"/>
          <w:sz w:val="24"/>
          <w:szCs w:val="24"/>
          <w:lang w:val="en-US" w:eastAsia="zh-CN"/>
        </w:rPr>
        <w:t xml:space="preserve">2mm/m</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lang w:eastAsia="zh-CN"/>
        </w:rPr>
        <w:outlineLvl w:val="2"/>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）轮廓标</w:t>
      </w:r>
      <w:r>
        <w:rPr>
          <w:rFonts w:hint="eastAsia" w:ascii="宋体" w:hAnsi="宋体" w:eastAsia="宋体" w:cs="宋体"/>
          <w:sz w:val="24"/>
          <w:szCs w:val="24"/>
          <w:lang w:eastAsia="zh-CN"/>
        </w:rPr>
        <w:t xml:space="preserve">不应有裂纹、拼接缝、边缘剥离、明显起泡、皱纹、划痕以及各种损伤</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不得出现颜色不均匀、逆反射性能不均匀以及反光亮度不均匀等缺陷。</w:t>
      </w:r>
      <w:r/>
    </w:p>
    <w:p>
      <w:pPr>
        <w:ind w:firstLine="504"/>
        <w:spacing w:line="360" w:lineRule="auto"/>
        <w:rPr>
          <w:rFonts w:hint="eastAsia" w:ascii="宋体" w:hAnsi="宋体" w:eastAsia="宋体" w:cs="宋体"/>
          <w:sz w:val="24"/>
          <w:szCs w:val="24"/>
          <w:highlight w:val="none"/>
          <w:lang w:val="en-US" w:eastAsia="zh-CN"/>
        </w:rPr>
        <w:outlineLvl w:val="2"/>
      </w:pPr>
      <w:r>
        <w:rPr>
          <w:rFonts w:hint="eastAsia" w:ascii="Calibri" w:hAnsi="Calibri" w:eastAsia="宋体" w:cs="Times New Roman"/>
          <w:spacing w:val="6"/>
          <w:sz w:val="24"/>
          <w:highlight w:val="none"/>
        </w:rPr>
        <w:t xml:space="preserve">★</w:t>
      </w:r>
      <w:r>
        <w:rPr>
          <w:rFonts w:hint="eastAsia" w:ascii="宋体" w:hAnsi="宋体" w:eastAsia="宋体" w:cs="宋体"/>
          <w:sz w:val="24"/>
          <w:szCs w:val="24"/>
          <w:highlight w:val="none"/>
          <w:lang w:val="en-US" w:eastAsia="zh-CN"/>
        </w:rPr>
        <w:t xml:space="preserve">c）采用钢构件制作的轮廓标底板、支架或连接件，其防腐层质量应符合</w:t>
      </w:r>
      <w:r>
        <w:rPr>
          <w:rFonts w:hint="eastAsia" w:ascii="宋体" w:hAnsi="宋体" w:eastAsia="宋体" w:cs="宋体"/>
          <w:sz w:val="24"/>
          <w:szCs w:val="24"/>
          <w:highlight w:val="none"/>
        </w:rPr>
        <w:t xml:space="preserve">《公路交通工程钢构件防腐技术条件》（GB/T 18226-2015）</w:t>
      </w:r>
      <w:r>
        <w:rPr>
          <w:rFonts w:hint="eastAsia" w:ascii="宋体" w:hAnsi="宋体" w:eastAsia="宋体" w:cs="宋体"/>
          <w:sz w:val="24"/>
          <w:szCs w:val="24"/>
          <w:highlight w:val="none"/>
          <w:lang w:val="en-US" w:eastAsia="zh-CN"/>
        </w:rPr>
        <w:t xml:space="preserve">的要求。</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材料力学性能</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制作轮廓标底板和支架的材料，其力学性能应符合以下要求：</w:t>
      </w:r>
      <w:r/>
    </w:p>
    <w:p>
      <w:pPr>
        <w:ind w:firstLine="504"/>
        <w:spacing w:line="360" w:lineRule="auto"/>
        <w:rPr>
          <w:rFonts w:hint="eastAsia" w:ascii="宋体" w:hAnsi="宋体" w:eastAsia="宋体" w:cs="宋体"/>
          <w:sz w:val="24"/>
          <w:szCs w:val="24"/>
          <w:highlight w:val="none"/>
          <w:lang w:val="en-US" w:eastAsia="zh-CN"/>
        </w:rPr>
      </w:pPr>
      <w:r>
        <w:rPr>
          <w:rFonts w:hint="eastAsia" w:ascii="Calibri" w:hAnsi="Calibri" w:eastAsia="宋体" w:cs="Times New Roman"/>
          <w:spacing w:val="6"/>
          <w:sz w:val="24"/>
          <w:highlight w:val="none"/>
        </w:rPr>
        <w:t xml:space="preserve">★</w:t>
      </w:r>
      <w:r>
        <w:rPr>
          <w:rFonts w:hint="eastAsia" w:ascii="宋体" w:hAnsi="宋体" w:eastAsia="宋体" w:cs="宋体"/>
          <w:sz w:val="24"/>
          <w:szCs w:val="24"/>
          <w:highlight w:val="none"/>
          <w:lang w:val="en-US" w:eastAsia="zh-CN"/>
        </w:rPr>
        <w:t xml:space="preserve">a</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采用铝合金板材时，使用GB/T 3880.1中规定的牌号；</w:t>
      </w:r>
      <w:r/>
    </w:p>
    <w:p>
      <w:pPr>
        <w:ind w:firstLine="504"/>
        <w:jc w:val="left"/>
        <w:spacing w:line="360" w:lineRule="auto"/>
        <w:rPr>
          <w:rFonts w:hint="eastAsia" w:ascii="宋体" w:hAnsi="宋体" w:eastAsia="宋体" w:cs="宋体"/>
          <w:sz w:val="24"/>
          <w:szCs w:val="24"/>
          <w:highlight w:val="none"/>
          <w:lang w:val="en-US" w:eastAsia="zh-CN"/>
        </w:rPr>
      </w:pPr>
      <w:r>
        <w:rPr>
          <w:rFonts w:hint="eastAsia" w:ascii="Calibri" w:hAnsi="Calibri" w:eastAsia="宋体" w:cs="Times New Roman"/>
          <w:spacing w:val="6"/>
          <w:sz w:val="24"/>
          <w:highlight w:val="none"/>
        </w:rPr>
        <w:t xml:space="preserve">★</w:t>
      </w:r>
      <w:r>
        <w:rPr>
          <w:rFonts w:hint="eastAsia" w:ascii="宋体" w:hAnsi="宋体" w:eastAsia="宋体" w:cs="宋体"/>
          <w:sz w:val="24"/>
          <w:szCs w:val="24"/>
          <w:highlight w:val="none"/>
          <w:lang w:val="en-US" w:eastAsia="zh-CN"/>
        </w:rPr>
        <w:t xml:space="preserve">b</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采用钢板时，使用GB/T 25053规定的牌号。</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色度性能</w:t>
      </w:r>
      <w:r/>
    </w:p>
    <w:p>
      <w:pPr>
        <w:ind w:firstLine="504"/>
        <w:spacing w:line="360" w:lineRule="auto"/>
        <w:rPr>
          <w:rFonts w:hint="eastAsia" w:ascii="宋体" w:hAnsi="宋体" w:eastAsia="宋体" w:cs="宋体"/>
          <w:sz w:val="24"/>
          <w:szCs w:val="24"/>
          <w:highlight w:val="none"/>
          <w:lang w:val="en-US" w:eastAsia="zh-CN"/>
        </w:rPr>
      </w:pPr>
      <w:r>
        <w:rPr>
          <w:rFonts w:hint="eastAsia" w:ascii="Calibri" w:hAnsi="Calibri" w:eastAsia="宋体" w:cs="Times New Roman"/>
          <w:spacing w:val="6"/>
          <w:sz w:val="24"/>
          <w:highlight w:val="none"/>
        </w:rPr>
        <w:t xml:space="preserve">★</w:t>
      </w:r>
      <w:r>
        <w:rPr>
          <w:rFonts w:hint="eastAsia" w:ascii="宋体" w:hAnsi="宋体" w:eastAsia="宋体" w:cs="宋体"/>
          <w:sz w:val="24"/>
          <w:szCs w:val="24"/>
          <w:highlight w:val="none"/>
          <w:lang w:val="en-US" w:eastAsia="zh-CN"/>
        </w:rPr>
        <w:t xml:space="preserve">轮廓标逆反射材料色有白色和黄色两种，应符合GB/T18833的要求。其夜间色色品坐标和亮度因数应符合下表规定的范围。</w:t>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轮廓标色品坐标（逆反射材料夜间色）</w: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654675" cy="1143635"/>
                <wp:effectExtent l="0" t="0" r="3175" b="1841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5"/>
                        <a:stretch/>
                      </pic:blipFill>
                      <pic:spPr bwMode="auto">
                        <a:xfrm>
                          <a:off x="0" y="0"/>
                          <a:ext cx="5654675" cy="1143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5.2pt;height:90.0pt;mso-wrap-distance-left:0.0pt;mso-wrap-distance-top:0.0pt;mso-wrap-distance-right:0.0pt;mso-wrap-distance-bottom:0.0pt;" stroked="f">
                <v:path textboxrect="0,0,0,0"/>
                <v:imagedata r:id="rId15" o:title=""/>
              </v:shape>
            </w:pict>
          </mc:Fallback>
        </mc:AlternateContent>
      </w:r>
      <w:r/>
    </w:p>
    <w:p>
      <w:pPr>
        <w:pStyle w:val="814"/>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4965700" cy="4937760"/>
                <wp:effectExtent l="0" t="0" r="6350" b="1524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6"/>
                        <a:stretch/>
                      </pic:blipFill>
                      <pic:spPr bwMode="auto">
                        <a:xfrm>
                          <a:off x="0" y="0"/>
                          <a:ext cx="4965700" cy="4937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91.0pt;height:388.8pt;mso-wrap-distance-left:0.0pt;mso-wrap-distance-top:0.0pt;mso-wrap-distance-right:0.0pt;mso-wrap-distance-bottom:0.0pt;" stroked="f">
                <v:path textboxrect="0,0,0,0"/>
                <v:imagedata r:id="rId16" o:title=""/>
              </v:shape>
            </w:pict>
          </mc:Fallback>
        </mc:AlternateContent>
      </w:r>
      <w:r/>
    </w:p>
    <w:p>
      <w:pPr>
        <w:ind w:firstLine="480"/>
        <w:jc w:val="center"/>
        <w:spacing w:line="600" w:lineRule="exact"/>
        <w:rPr>
          <w:rFonts w:hint="eastAsia" w:ascii="宋体" w:hAnsi="宋体" w:eastAsia="宋体" w:cs="宋体"/>
          <w:sz w:val="24"/>
          <w:szCs w:val="24"/>
          <w:lang w:val="en-US" w:eastAsia="zh-CN"/>
        </w:rPr>
      </w:pPr>
      <w:r>
        <w:rPr>
          <w:rFonts w:hint="eastAsia" w:ascii="宋体" w:hAnsi="宋体" w:eastAsia="宋体" w:cs="宋体"/>
          <w:b w:val="0"/>
          <w:sz w:val="24"/>
          <w:szCs w:val="24"/>
          <w:lang w:val="en-US" w:eastAsia="zh-CN" w:bidi="ar-SA"/>
        </w:rPr>
        <w:t xml:space="preserve">轮廓标色品图（逆反射材料夜间色）</w:t>
      </w:r>
      <w:r/>
    </w:p>
    <w:p>
      <w:pPr>
        <w:ind w:firstLine="480"/>
        <w:spacing w:line="6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光度性能</w:t>
      </w:r>
      <w:r/>
    </w:p>
    <w:p>
      <w:pPr>
        <w:ind w:firstLine="480"/>
        <w:spacing w:line="6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用作轮廓标的微棱镜型反射器的发光强度系数值不应低于</w:t>
      </w:r>
      <w:r>
        <w:rPr>
          <w:rFonts w:hint="eastAsia" w:ascii="宋体" w:hAnsi="宋体" w:eastAsia="宋体" w:cs="宋体"/>
          <w:sz w:val="24"/>
          <w:szCs w:val="24"/>
          <w:lang w:eastAsia="zh-CN"/>
        </w:rPr>
        <w:t xml:space="preserve">下</w:t>
      </w:r>
      <w:r>
        <w:rPr>
          <w:rFonts w:hint="eastAsia" w:ascii="宋体" w:hAnsi="宋体" w:eastAsia="宋体" w:cs="宋体"/>
          <w:sz w:val="24"/>
          <w:szCs w:val="24"/>
        </w:rPr>
        <w:t xml:space="preserve">表的规定</w:t>
      </w:r>
      <w:r>
        <w:rPr>
          <w:rFonts w:hint="eastAsia" w:ascii="宋体" w:hAnsi="宋体" w:eastAsia="宋体" w:cs="宋体"/>
          <w:sz w:val="24"/>
          <w:szCs w:val="24"/>
          <w:lang w:eastAsia="zh-CN"/>
        </w:rPr>
        <w:t xml:space="preserve">。</w:t>
      </w:r>
      <w:r/>
    </w:p>
    <w:p>
      <w:pPr>
        <w:ind w:firstLine="480"/>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微棱镜型反射器的发光强度系数</w:t>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15"/>
        <w:gridCol w:w="2415"/>
        <w:gridCol w:w="2416"/>
      </w:tblGrid>
      <w:tr>
        <w:trPr>
          <w:jc w:val="center"/>
          <w:trHeight w:val="283"/>
        </w:trPr>
        <w:tc>
          <w:tcPr>
            <w:tcW w:w="2231"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观测角α</w:t>
            </w:r>
            <w:r/>
          </w:p>
        </w:tc>
        <w:tc>
          <w:tcPr>
            <w:tcW w:w="2415"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入射角β</w:t>
            </w:r>
            <w:r>
              <w:rPr>
                <w:rFonts w:hint="eastAsia" w:ascii="宋体" w:hAnsi="宋体" w:eastAsia="宋体" w:cs="宋体"/>
                <w:sz w:val="24"/>
                <w:szCs w:val="24"/>
                <w:vertAlign w:val="subscript"/>
                <w:lang w:val="en-US" w:eastAsia="zh-CN"/>
              </w:rPr>
              <w:t xml:space="preserve">2</w:t>
            </w:r>
            <w:r>
              <w:rPr>
                <w:rFonts w:hint="eastAsia" w:ascii="宋体" w:hAnsi="宋体" w:eastAsia="宋体" w:cs="宋体"/>
                <w:sz w:val="24"/>
                <w:szCs w:val="24"/>
                <w:lang w:val="en-US" w:eastAsia="zh-CN"/>
              </w:rPr>
              <w:t xml:space="preserve">（β</w:t>
            </w:r>
            <w:r>
              <w:rPr>
                <w:rFonts w:hint="eastAsia" w:ascii="宋体" w:hAnsi="宋体" w:eastAsia="宋体" w:cs="宋体"/>
                <w:sz w:val="24"/>
                <w:szCs w:val="24"/>
                <w:vertAlign w:val="subscript"/>
                <w:lang w:val="en-US" w:eastAsia="zh-CN"/>
              </w:rPr>
              <w:t xml:space="preserve">1</w:t>
            </w:r>
            <w:r>
              <w:rPr>
                <w:rFonts w:hint="eastAsia" w:ascii="宋体" w:hAnsi="宋体" w:eastAsia="宋体" w:cs="宋体"/>
                <w:sz w:val="24"/>
                <w:szCs w:val="24"/>
                <w:lang w:val="en-US" w:eastAsia="zh-CN"/>
              </w:rPr>
              <w:t xml:space="preserve">=0）</w:t>
            </w:r>
            <w:r/>
          </w:p>
        </w:tc>
        <w:tc>
          <w:tcPr>
            <w:gridSpan w:val="2"/>
            <w:tcW w:w="4831"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最小发光强度系数cd·lx</w:t>
            </w:r>
            <w:r>
              <w:rPr>
                <w:rFonts w:hint="eastAsia" w:ascii="宋体" w:hAnsi="宋体" w:eastAsia="宋体" w:cs="宋体"/>
                <w:sz w:val="24"/>
                <w:szCs w:val="24"/>
                <w:vertAlign w:val="superscript"/>
                <w:lang w:val="en-US" w:eastAsia="zh-CN"/>
              </w:rPr>
              <w:t xml:space="preserve">-1</w:t>
            </w:r>
            <w:r/>
          </w:p>
        </w:tc>
      </w:tr>
      <w:tr>
        <w:trPr>
          <w:jc w:val="center"/>
          <w:trHeight w:val="283"/>
        </w:trPr>
        <w:tc>
          <w:tcPr>
            <w:tcW w:w="2231"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5"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白色</w:t>
            </w:r>
            <w:r/>
          </w:p>
        </w:tc>
        <w:tc>
          <w:tcPr>
            <w:tcW w:w="241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黄色</w:t>
            </w:r>
            <w:r/>
          </w:p>
        </w:tc>
      </w:tr>
      <w:tr>
        <w:trPr>
          <w:jc w:val="center"/>
          <w:trHeight w:val="283"/>
        </w:trPr>
        <w:tc>
          <w:tcPr>
            <w:tcW w:w="2231"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0.2°</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0°</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4.65</w:t>
            </w:r>
            <w:r/>
          </w:p>
        </w:tc>
        <w:tc>
          <w:tcPr>
            <w:tcW w:w="241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2.90</w:t>
            </w:r>
            <w:r/>
          </w:p>
        </w:tc>
      </w:tr>
      <w:tr>
        <w:trPr>
          <w:jc w:val="center"/>
          <w:trHeight w:val="283"/>
        </w:trPr>
        <w:tc>
          <w:tcPr>
            <w:tcW w:w="2231"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3.75</w:t>
            </w:r>
            <w:r/>
          </w:p>
        </w:tc>
        <w:tc>
          <w:tcPr>
            <w:tcW w:w="241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2.35</w:t>
            </w:r>
            <w:r/>
          </w:p>
        </w:tc>
      </w:tr>
      <w:tr>
        <w:trPr>
          <w:jc w:val="center"/>
          <w:trHeight w:val="283"/>
        </w:trPr>
        <w:tc>
          <w:tcPr>
            <w:tcW w:w="2231"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1.95</w:t>
            </w:r>
            <w:r/>
          </w:p>
        </w:tc>
        <w:tc>
          <w:tcPr>
            <w:tcW w:w="241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1.21</w:t>
            </w:r>
            <w:r/>
          </w:p>
        </w:tc>
      </w:tr>
      <w:tr>
        <w:trPr>
          <w:jc w:val="center"/>
          <w:trHeight w:val="283"/>
        </w:trPr>
        <w:tc>
          <w:tcPr>
            <w:tcW w:w="2231"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0.5°</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0°</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2.25</w:t>
            </w:r>
            <w:r/>
          </w:p>
        </w:tc>
        <w:tc>
          <w:tcPr>
            <w:tcW w:w="241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1.45</w:t>
            </w:r>
            <w:r/>
          </w:p>
        </w:tc>
      </w:tr>
      <w:tr>
        <w:trPr>
          <w:jc w:val="center"/>
          <w:trHeight w:val="283"/>
        </w:trPr>
        <w:tc>
          <w:tcPr>
            <w:tcW w:w="2231"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±10°</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1.85</w:t>
            </w:r>
            <w:r/>
          </w:p>
        </w:tc>
        <w:tc>
          <w:tcPr>
            <w:tcW w:w="241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1.20</w:t>
            </w:r>
            <w:r/>
          </w:p>
        </w:tc>
      </w:tr>
      <w:tr>
        <w:trPr>
          <w:jc w:val="center"/>
          <w:trHeight w:val="283"/>
        </w:trPr>
        <w:tc>
          <w:tcPr>
            <w:tcW w:w="2231"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±20°</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0.93</w:t>
            </w:r>
            <w:r/>
          </w:p>
        </w:tc>
        <w:tc>
          <w:tcPr>
            <w:tcW w:w="241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0.56</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）反射器的密封性能</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反射体不应出现被水或雾气渗入的现象。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）耐盐雾腐蚀性能</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耐盐雾腐蚀试验后，各部件不应有变色、起泡、锈斑或被侵蚀的痕迹。反射器不应出现被水或雾气渗入的痕迹；反光膜不应出现渗漏或边缘被剥离的现象。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）耐高低温性能</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耐高低温试验后，各部件不应出现裂缝、剥落、碎裂、起泡、翘曲或变形等破损的痕迹。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）耐候性能</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连续自然暴露或人工加速老化试验后：</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）轮廓标应无明显的裂缝、刻痕、气泡、锈蚀、侵蚀、剥离、褪色、粉化或变形等破损的痕迹。</w:t>
      </w:r>
      <w:r/>
    </w:p>
    <w:p>
      <w:pPr>
        <w:ind w:firstLine="504"/>
        <w:spacing w:line="360" w:lineRule="auto"/>
        <w:rPr>
          <w:rFonts w:hint="eastAsia" w:ascii="宋体" w:hAnsi="宋体" w:eastAsia="宋体" w:cs="宋体"/>
          <w:sz w:val="24"/>
          <w:szCs w:val="24"/>
          <w:highlight w:val="none"/>
        </w:rPr>
        <w:outlineLvl w:val="2"/>
      </w:pPr>
      <w:r>
        <w:rPr>
          <w:rFonts w:hint="eastAsia" w:ascii="Calibri" w:hAnsi="Calibri" w:eastAsia="宋体" w:cs="Times New Roman"/>
          <w:spacing w:val="6"/>
          <w:sz w:val="24"/>
          <w:highlight w:val="none"/>
        </w:rPr>
        <w:t xml:space="preserve">★</w:t>
      </w:r>
      <w:r>
        <w:rPr>
          <w:rFonts w:hint="eastAsia" w:ascii="宋体" w:hAnsi="宋体" w:eastAsia="宋体" w:cs="宋体"/>
          <w:sz w:val="24"/>
          <w:szCs w:val="24"/>
          <w:highlight w:val="none"/>
          <w:lang w:val="en-US" w:eastAsia="zh-CN"/>
        </w:rPr>
        <w:t xml:space="preserve">b</w:t>
      </w:r>
      <w:r>
        <w:rPr>
          <w:rFonts w:hint="eastAsia" w:ascii="宋体" w:hAnsi="宋体" w:eastAsia="宋体" w:cs="宋体"/>
          <w:sz w:val="24"/>
          <w:szCs w:val="24"/>
          <w:highlight w:val="none"/>
        </w:rPr>
        <w:t xml:space="preserve">）轮廓标各种颜色的色品坐标和亮度因素应保持</w:t>
      </w:r>
      <w:r>
        <w:rPr>
          <w:rFonts w:hint="eastAsia" w:ascii="宋体" w:hAnsi="宋体" w:eastAsia="宋体" w:cs="宋体"/>
          <w:sz w:val="24"/>
          <w:szCs w:val="24"/>
          <w:highlight w:val="none"/>
          <w:lang w:val="en-US" w:eastAsia="zh-CN"/>
        </w:rPr>
        <w:t xml:space="preserve">《轮廓标》（GB/T 24970-2020）</w:t>
      </w:r>
      <w:r>
        <w:rPr>
          <w:rFonts w:hint="eastAsia" w:ascii="宋体" w:hAnsi="宋体" w:eastAsia="宋体" w:cs="宋体"/>
          <w:sz w:val="24"/>
          <w:szCs w:val="24"/>
          <w:highlight w:val="none"/>
        </w:rPr>
        <w:t xml:space="preserve">规定的范围之内。</w:t>
      </w:r>
      <w:r/>
    </w:p>
    <w:p>
      <w:pPr>
        <w:ind w:firstLine="480"/>
        <w:spacing w:line="360" w:lineRule="auto"/>
        <w:rPr>
          <w:rFonts w:hint="eastAsia" w:ascii="宋体" w:hAnsi="宋体" w:eastAsia="宋体" w:cs="宋体"/>
          <w:sz w:val="24"/>
          <w:szCs w:val="24"/>
          <w:highlight w:val="none"/>
        </w:rPr>
        <w:outlineLvl w:val="2"/>
      </w:pPr>
      <w:r>
        <w:rPr>
          <w:rFonts w:hint="eastAsia" w:ascii="宋体" w:hAnsi="宋体" w:eastAsia="宋体" w:cs="宋体"/>
          <w:sz w:val="24"/>
          <w:szCs w:val="24"/>
          <w:highlight w:val="none"/>
          <w:lang w:val="en-US" w:eastAsia="zh-CN"/>
        </w:rPr>
        <w:t xml:space="preserve">c</w:t>
      </w:r>
      <w:r>
        <w:rPr>
          <w:rFonts w:hint="eastAsia" w:ascii="宋体" w:hAnsi="宋体" w:eastAsia="宋体" w:cs="宋体"/>
          <w:sz w:val="24"/>
          <w:szCs w:val="24"/>
          <w:highlight w:val="none"/>
        </w:rPr>
        <w:t xml:space="preserve">）反射器不应出现被水渗入的痕迹；反光膜不应出现边缘被剥开的现象。</w:t>
      </w:r>
      <w:r/>
    </w:p>
    <w:p>
      <w:pPr>
        <w:ind w:firstLine="504"/>
        <w:spacing w:line="360" w:lineRule="auto"/>
        <w:rPr>
          <w:rFonts w:hint="eastAsia" w:ascii="宋体" w:hAnsi="宋体" w:eastAsia="宋体" w:cs="宋体"/>
          <w:sz w:val="24"/>
          <w:szCs w:val="24"/>
          <w:lang w:eastAsia="zh-CN"/>
        </w:rPr>
        <w:outlineLvl w:val="2"/>
      </w:pPr>
      <w:r>
        <w:rPr>
          <w:rFonts w:hint="eastAsia" w:ascii="Calibri" w:hAnsi="Calibri" w:eastAsia="宋体" w:cs="Times New Roman"/>
          <w:spacing w:val="6"/>
          <w:sz w:val="24"/>
          <w:highlight w:val="none"/>
        </w:rPr>
        <w:t xml:space="preserve">★</w:t>
      </w:r>
      <w:r>
        <w:rPr>
          <w:rFonts w:hint="eastAsia" w:ascii="宋体" w:hAnsi="宋体" w:eastAsia="宋体" w:cs="宋体"/>
          <w:sz w:val="24"/>
          <w:szCs w:val="24"/>
          <w:highlight w:val="none"/>
          <w:lang w:val="en-US" w:eastAsia="zh-CN"/>
        </w:rPr>
        <w:t xml:space="preserve">d</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反射器的发光强度系数值不应低于</w:t>
      </w:r>
      <w:r>
        <w:rPr>
          <w:rFonts w:hint="eastAsia" w:ascii="宋体" w:hAnsi="宋体" w:eastAsia="宋体" w:cs="宋体"/>
          <w:sz w:val="24"/>
          <w:szCs w:val="24"/>
          <w:lang w:eastAsia="zh-CN"/>
        </w:rPr>
        <w:t xml:space="preserve">上</w:t>
      </w:r>
      <w:r>
        <w:rPr>
          <w:rFonts w:hint="eastAsia" w:ascii="宋体" w:hAnsi="宋体" w:eastAsia="宋体" w:cs="宋体"/>
          <w:sz w:val="24"/>
          <w:szCs w:val="24"/>
        </w:rPr>
        <w:t xml:space="preserve">表相应规定值的</w:t>
      </w:r>
      <w:r>
        <w:rPr>
          <w:rFonts w:hint="eastAsia" w:ascii="宋体" w:hAnsi="宋体" w:eastAsia="宋体" w:cs="宋体"/>
          <w:sz w:val="24"/>
          <w:szCs w:val="24"/>
          <w:lang w:val="en-US" w:eastAsia="zh-CN"/>
        </w:rPr>
        <w:t xml:space="preserve">50%</w:t>
      </w:r>
      <w:r>
        <w:rPr>
          <w:rFonts w:hint="eastAsia" w:ascii="宋体" w:hAnsi="宋体" w:eastAsia="宋体" w:cs="宋体"/>
          <w:sz w:val="24"/>
          <w:szCs w:val="24"/>
        </w:rPr>
        <w:t xml:space="preserve">；反光膜的逆反射系数值不应低于《道路交通反光膜》（GB/T 18833-2012）相应规定值的</w:t>
      </w:r>
      <w:r>
        <w:rPr>
          <w:rFonts w:hint="eastAsia" w:ascii="宋体" w:hAnsi="宋体" w:eastAsia="宋体" w:cs="宋体"/>
          <w:sz w:val="24"/>
          <w:szCs w:val="24"/>
          <w:lang w:val="en-US" w:eastAsia="zh-CN"/>
        </w:rPr>
        <w:t xml:space="preserve">80%</w:t>
      </w:r>
      <w:r>
        <w:rPr>
          <w:rFonts w:hint="eastAsia" w:ascii="宋体" w:hAnsi="宋体" w:eastAsia="宋体" w:cs="宋体"/>
          <w:sz w:val="24"/>
          <w:szCs w:val="24"/>
          <w:lang w:eastAsia="zh-CN"/>
        </w:rPr>
        <w:t xml:space="preserve">。</w:t>
      </w:r>
      <w:r/>
    </w:p>
    <w:p>
      <w:pPr>
        <w:pStyle w:val="1096"/>
        <w:numPr>
          <w:ilvl w:val="0"/>
          <w:numId w:val="14"/>
        </w:numPr>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杆件（信号类/监控类/标牌类）、基础线路、管路、接线井、控制箱等系统</w:t>
      </w:r>
      <w:r/>
    </w:p>
    <w:p>
      <w:pPr>
        <w:spacing w:line="360" w:lineRule="auto"/>
        <w:rPr>
          <w:rFonts w:hint="eastAsia" w:ascii="宋体" w:hAnsi="宋体" w:eastAsia="宋体" w:cs="宋体"/>
          <w:b/>
          <w:sz w:val="24"/>
          <w:szCs w:val="24"/>
          <w:lang w:eastAsia="zh-CN"/>
        </w:rPr>
      </w:pPr>
      <w:r>
        <w:rPr>
          <w:rFonts w:hint="eastAsia" w:ascii="宋体" w:hAnsi="宋体" w:cs="宋体"/>
          <w:b/>
          <w:sz w:val="24"/>
          <w:szCs w:val="24"/>
          <w:lang w:val="en-US" w:eastAsia="zh-CN"/>
        </w:rPr>
        <w:t xml:space="preserve">15</w:t>
      </w:r>
      <w:r>
        <w:rPr>
          <w:rFonts w:hint="eastAsia" w:ascii="宋体" w:hAnsi="宋体" w:eastAsia="宋体" w:cs="宋体"/>
          <w:b/>
          <w:sz w:val="24"/>
          <w:szCs w:val="24"/>
          <w:lang w:eastAsia="zh-CN"/>
        </w:rPr>
        <w:t xml:space="preserve">.1、杆件（L/F型信号类杆件、L型监控类杆件、F型标牌类杆件）</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（1）主杆与横杆通过法兰连接，连接螺丝采用热镀锌材质，强度8.8级；</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（2）杆件要求热镀锌喷塑，要求为白色；</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（3）横杆要求冷弯，弯曲地方不许采用焊接连接；</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（4）杆体距地面300mm-400mm处留有穿线孔，孔的上方焊接防水檐；</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（5）杆件抗风等级应达12级；</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（6）杆件应安装保护地线，保护地线使用镀锌扁钢制作，焊接到每个钢制杆件的法兰盘上；焊接处作防腐处理。保护地线与接地体/接地棒有效连接，接地电阻应小于</w:t>
      </w:r>
      <w:r>
        <w:rPr>
          <w:rFonts w:hint="eastAsia" w:ascii="Calibri" w:hAnsi="Calibri"/>
          <w:spacing w:val="6"/>
          <w:sz w:val="24"/>
          <w:szCs w:val="22"/>
          <w:highlight w:val="none"/>
          <w:lang w:val="en-US" w:eastAsia="zh-CN"/>
        </w:rPr>
        <w:t xml:space="preserve">4</w:t>
      </w:r>
      <w:r>
        <w:rPr>
          <w:rFonts w:hint="eastAsia" w:ascii="Calibri" w:hAnsi="Calibri"/>
          <w:spacing w:val="6"/>
          <w:sz w:val="24"/>
          <w:szCs w:val="22"/>
          <w:highlight w:val="none"/>
        </w:rPr>
        <w:t xml:space="preserve">Ω。</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（7）信号灯立杆详见图纸，横臂长度根据现场道路幅面进行实地测量，以满足信号灯及抓拍要求确定。杆件壁厚必须满足抗风12级以上要求。</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（8）本次杆件为成套采购，涉及每个方向杆件供货均包括杆件成套到货及安装调试到位正常</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交付使用所涵盖包括的各类配套辅材、配套连接件等，连接螺栓均要求强度8.8级。</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9）杆件外表均采用热镀锌喷塑处理，外表喷塑为白色，机动车信号立杆高度详见图纸，横臂长度根据现场勘探实地尺量确定，行人灯立杆高度3M为宜，机动车信号灯灯盘均采用横式安装；行人灯灯盘竖立安装，上红下绿动人，杆件制作工艺同上；杆件（信号、监控）生产制作时，横杆小头处均设置悬挂球机的套丝固定件，立杆距离地面高度2</w:t>
      </w:r>
      <w:r>
        <w:rPr>
          <w:rFonts w:hint="eastAsia" w:ascii="Calibri" w:hAnsi="Calibri"/>
          <w:spacing w:val="6"/>
          <w:sz w:val="24"/>
          <w:szCs w:val="22"/>
          <w:highlight w:val="none"/>
          <w:lang w:val="en-US" w:eastAsia="zh-CN"/>
        </w:rPr>
        <w:t xml:space="preserve">.3</w:t>
      </w:r>
      <w:r>
        <w:rPr>
          <w:rFonts w:hint="eastAsia" w:ascii="Calibri" w:hAnsi="Calibri"/>
          <w:spacing w:val="6"/>
          <w:sz w:val="24"/>
          <w:szCs w:val="22"/>
          <w:highlight w:val="none"/>
        </w:rPr>
        <w:t xml:space="preserve">M-2.5M开孔，便于挂抱杆箱。</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（10）杆件（信号、监控）采用Q235钢材，立柱管壁厚度≥5mm</w:t>
      </w:r>
      <w:r>
        <w:rPr>
          <w:rFonts w:hint="eastAsia" w:ascii="Calibri" w:hAnsi="Calibri"/>
          <w:spacing w:val="6"/>
          <w:sz w:val="24"/>
          <w:szCs w:val="22"/>
          <w:highlight w:val="none"/>
          <w:lang w:eastAsia="zh-CN"/>
        </w:rPr>
        <w:t xml:space="preserve">（</w:t>
      </w:r>
      <w:r>
        <w:rPr>
          <w:rFonts w:hint="eastAsia" w:ascii="Calibri" w:hAnsi="Calibri"/>
          <w:spacing w:val="6"/>
          <w:sz w:val="24"/>
          <w:szCs w:val="22"/>
          <w:highlight w:val="none"/>
        </w:rPr>
        <w:t xml:space="preserve">根据横臂长短增加厚度</w:t>
      </w:r>
      <w:r>
        <w:rPr>
          <w:rFonts w:hint="eastAsia" w:ascii="Calibri" w:hAnsi="Calibri"/>
          <w:spacing w:val="6"/>
          <w:sz w:val="24"/>
          <w:szCs w:val="22"/>
          <w:highlight w:val="none"/>
          <w:lang w:eastAsia="zh-CN"/>
        </w:rPr>
        <w:t xml:space="preserve">）</w:t>
      </w:r>
      <w:r>
        <w:rPr>
          <w:rFonts w:hint="eastAsia" w:ascii="Calibri" w:hAnsi="Calibri"/>
          <w:spacing w:val="6"/>
          <w:sz w:val="24"/>
          <w:szCs w:val="22"/>
          <w:highlight w:val="none"/>
        </w:rPr>
        <w:t xml:space="preserve">,表面镀锌处理后喷涂白色烤漆，镀层厚度≥60μm，达到双重防锈、防腐。 行人灯杆件立杆高度</w:t>
      </w:r>
      <w:r>
        <w:rPr>
          <w:rFonts w:hint="eastAsia" w:ascii="Calibri" w:hAnsi="Calibri"/>
          <w:spacing w:val="6"/>
          <w:sz w:val="24"/>
          <w:szCs w:val="22"/>
          <w:highlight w:val="none"/>
          <w:lang w:val="en-US" w:eastAsia="zh-CN"/>
        </w:rPr>
        <w:t xml:space="preserve">需满足灯组净空高度2.5m安装</w:t>
      </w:r>
      <w:r>
        <w:rPr>
          <w:rFonts w:hint="eastAsia" w:ascii="Calibri" w:hAnsi="Calibri"/>
          <w:spacing w:val="6"/>
          <w:sz w:val="24"/>
          <w:szCs w:val="22"/>
          <w:highlight w:val="none"/>
          <w:lang w:eastAsia="zh-CN"/>
        </w:rPr>
        <w:t xml:space="preserve">，</w:t>
      </w:r>
      <w:r>
        <w:rPr>
          <w:rFonts w:hint="eastAsia" w:ascii="Calibri" w:hAnsi="Calibri"/>
          <w:spacing w:val="6"/>
          <w:sz w:val="24"/>
          <w:szCs w:val="22"/>
          <w:highlight w:val="none"/>
        </w:rPr>
        <w:t xml:space="preserve">上下等径管加工制作。</w:t>
      </w:r>
      <w:r/>
    </w:p>
    <w:p>
      <w:pPr>
        <w:pStyle w:val="1096"/>
        <w:spacing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15.2、信号控制线缆</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eastAsia="zh-CN"/>
        </w:rPr>
        <w:t xml:space="preserve">依据设计图按需配置</w:t>
      </w:r>
      <w:r>
        <w:rPr>
          <w:rFonts w:hint="eastAsia" w:ascii="宋体" w:hAnsi="宋体" w:eastAsia="宋体" w:cs="宋体"/>
          <w:color w:val="auto"/>
          <w:sz w:val="24"/>
          <w:szCs w:val="24"/>
          <w:lang w:eastAsia="zh-CN"/>
        </w:rPr>
        <w:t xml:space="preserve">：</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供电接电电缆采用室外防水铠装≥2*16规格的电缆。</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主干信号线缆采用规格≥RVV12*1.0mm2的电缆，确保每根灯杆里面均有备用缆芯，并考虑实际情况结合相关标准、规范要求。要求从机柜到灯头直接连接。所有控制设备需安装在信号机落地机柜、电警机柜、杆件抱杆箱中。</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人行灯、机动车灯信号线缆采用≥RVV4*1.0mm2规格的电缆。</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三色倒计时控制线缆采用≥RVV4*1.0mm2规格的电缆。</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电警系统电源线缆采用≥RVV3*1.0mm2规格的电缆,网络线缆采用超5类室外防水线缆，传输线缆采用室外防水铠装单模≥8芯光缆，LED频闪灯、补光灯线缆采用≥RVVP5*1.0mm2规格的电缆。</w:t>
      </w:r>
      <w:r/>
    </w:p>
    <w:p>
      <w:pPr>
        <w:pStyle w:val="1096"/>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其他系统电缆规格以具体图纸为准。</w:t>
      </w:r>
      <w:r/>
    </w:p>
    <w:p>
      <w:pPr>
        <w:pStyle w:val="1096"/>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15.3、机柜基础、机柜规格、杆件抱杆箱</w:t>
      </w:r>
      <w:r/>
    </w:p>
    <w:p>
      <w:pPr>
        <w:pStyle w:val="109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信号机柜、电警控制机柜立于一处，靠近设置，基础高于地面20CM以上；机柜旁必须设置便于维护的总接线</w:t>
      </w:r>
      <w:r>
        <w:rPr>
          <w:rFonts w:hint="eastAsia" w:ascii="宋体" w:hAnsi="宋体" w:eastAsia="宋体" w:cs="宋体"/>
          <w:color w:val="auto"/>
          <w:sz w:val="24"/>
          <w:szCs w:val="24"/>
          <w:lang w:val="en-US" w:eastAsia="zh-CN"/>
        </w:rPr>
        <w:t xml:space="preserve">窨</w:t>
      </w:r>
      <w:r>
        <w:rPr>
          <w:rFonts w:hint="eastAsia" w:ascii="宋体" w:hAnsi="宋体" w:eastAsia="宋体" w:cs="宋体"/>
          <w:color w:val="auto"/>
          <w:sz w:val="24"/>
          <w:szCs w:val="24"/>
          <w:lang w:eastAsia="zh-CN"/>
        </w:rPr>
        <w:t xml:space="preserve">井，井盖要求能承载1人站立的重量，材质采用复合材料重型或铸铁材料或水泥浇筑井盖。</w:t>
      </w:r>
      <w:r/>
    </w:p>
    <w:p>
      <w:pPr>
        <w:pStyle w:val="109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信号机机箱应采取落地式安装方式，机箱为镀锌喷塑定制机柜，规格不得小于1480*690*460，系二边开门结构（双门），外部双门喷字（黑色“道路交通信号控制机”字样、红色“高压危险”字样），内部设置多层结构，箱体内主控板及设备的摆放位置、安装方式、接线方式、线缆敷设方式等应进行合理设计。信号机机柜内侧应设有存放设备布置图、接线图、维修记录等资料的存储盒，存储盒应能存放A4版面资料，厚度至少为2mm。机箱内应设置专用接地铜排，接地铜排的截面不小于100mm2，并应设置接地标志。在熔断器和电源开关处应有警告标志。</w:t>
      </w:r>
      <w:r/>
    </w:p>
    <w:p>
      <w:pPr>
        <w:pStyle w:val="109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电警机柜应采取落地式安装方式，机箱为不锈钢材质或镀锌喷塑冷轧板定制机柜，规格不低于1200*600*500，系二边（双）开门结构，外部双门喷字（红色“交警专用”字样）内部设置三层结构，箱体内设备的摆放位置、安装方式、接线方式、线缆敷设方式等应进行合理设计。</w:t>
      </w:r>
      <w:r/>
    </w:p>
    <w:p>
      <w:pPr>
        <w:pStyle w:val="1096"/>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杆件抱杆箱，材质采用不锈钢201板加工制作，厚度1.0MM以上，规格不低于500*400*180，AB403锁具，边沿采用发泡密封条防水侵入；要求内部具备接电开关漏电保护开关（均要求带自动重合闸功能）、至少大于等于3位的多孔联排插座。</w:t>
      </w:r>
      <w:r/>
    </w:p>
    <w:p>
      <w:pPr>
        <w:pStyle w:val="1096"/>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15.4、交叉道口供电接电及主电接入线缆</w:t>
      </w:r>
      <w:r/>
    </w:p>
    <w:p>
      <w:pPr>
        <w:pStyle w:val="1096"/>
        <w:ind w:firstLine="480"/>
        <w:spacing w:line="360" w:lineRule="auto"/>
        <w:rPr>
          <w:rFonts w:hint="eastAsia" w:ascii="宋体" w:hAnsi="宋体" w:eastAsia="宋体" w:cs="宋体"/>
          <w:spacing w:val="6"/>
          <w:sz w:val="24"/>
          <w:szCs w:val="24"/>
        </w:rPr>
      </w:pPr>
      <w:r>
        <w:rPr>
          <w:rFonts w:hint="eastAsia" w:ascii="宋体" w:hAnsi="宋体" w:eastAsia="宋体" w:cs="宋体"/>
          <w:color w:val="auto"/>
          <w:sz w:val="24"/>
          <w:szCs w:val="24"/>
          <w:lang w:val="en-US" w:eastAsia="zh-CN"/>
        </w:rPr>
        <w:t xml:space="preserve">考虑到本次规划实施的智能交通系统均</w:t>
      </w:r>
      <w:r>
        <w:rPr>
          <w:rFonts w:hint="eastAsia" w:ascii="宋体" w:hAnsi="宋体" w:eastAsia="宋体" w:cs="宋体"/>
          <w:color w:val="auto"/>
          <w:sz w:val="24"/>
          <w:szCs w:val="24"/>
          <w:lang w:val="en-US" w:eastAsia="zh-CN" w:bidi="ar-SA"/>
        </w:rPr>
        <w:t xml:space="preserve">处于金湖县城区各主要交叉道口及主要道路沿线，人流量车流量较多，交</w:t>
      </w:r>
      <w:r>
        <w:rPr>
          <w:rFonts w:hint="eastAsia" w:ascii="宋体" w:hAnsi="宋体" w:eastAsia="宋体" w:cs="宋体"/>
          <w:spacing w:val="6"/>
          <w:sz w:val="24"/>
          <w:szCs w:val="24"/>
        </w:rPr>
        <w:t xml:space="preserve">叉地段事故高发、频发，具体供电线路、管路均需得到属地供电部门（市政亮化管理部门）现场勘探和定位，供电线路走向、管路走向需协调并严格按供用电接电标准规范安装，地埋电缆沿途均要设置电缆标识桩起警示提醒作用。</w:t>
      </w:r>
      <w:r/>
    </w:p>
    <w:p>
      <w:pPr>
        <w:ind w:firstLine="50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因此需要充分协调，做好沿线接电用电管网埋设工作，具体需要实地勘探，需要对现场勘探并严格遵循供电部门要求实施，需充分考虑各建设点位沿途管道施工开挖因素、绿化破坏及恢复、道路破坏及赔偿等因素以及配合本次项目赶工作业因素；同时需充分考虑建设点位沿途各种管道（主要燃气管道、自来水管道、污水管道、各类通信管道、电力管道等集聚。）交错，涉及开挖、顶管、架空杆件等因素、市政道路及各类绿化破坏及恢复因素、开挖破坏及恢复因素以及配合赶工作业因素。</w:t>
      </w:r>
      <w:r/>
    </w:p>
    <w:p>
      <w:pPr>
        <w:ind w:firstLine="50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本次规划的智能交通建设点位需对涉及的具体点位接电供电系统进行实地勘探，遵循供 电部门对接电供电的具体要求，采取入地埋设方案，进行合理设计并预算，同时需要考虑本次建设项目涉及金湖供电管理部门（或市政亮化管理部门）协调，办理各种接电手续所涉及费用一并纳入本次总造价。</w:t>
      </w:r>
      <w:r/>
    </w:p>
    <w:p>
      <w:pPr>
        <w:ind w:firstLine="50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施工单位负责系统正常运行的供电接电安装调试工作，并通过当地供电部门验收认可， 供电接电部分作为本次项目最终验收的一部分，连同整个系统移交至交警部门使用，否则由其承担所引起的一切质量问题及后果。</w:t>
      </w:r>
      <w:r/>
    </w:p>
    <w:p>
      <w:pPr>
        <w:ind w:firstLine="50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交付使用后由施工单位负责运维质保期二年内的系统用电接电问题，遇到电路故障造成</w:t>
      </w:r>
      <w:r/>
    </w:p>
    <w:p>
      <w:pPr>
        <w:ind w:firstLine="50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交叉道口交通信号无法正常工作时，均需按照承诺的售后服务响应时间和要求及时到场检修排查故障，确保系统第一时间恢复正常工作。</w:t>
      </w:r>
      <w:r/>
    </w:p>
    <w:p>
      <w:pPr>
        <w:ind w:firstLine="50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本次项目供电接电线缆采用室外防水铠装电缆2*16以上，确保各交叉道口用电负荷。</w:t>
      </w:r>
      <w:r/>
    </w:p>
    <w:p>
      <w:pPr>
        <w:pStyle w:val="1096"/>
        <w:numPr>
          <w:ilvl w:val="0"/>
          <w:numId w:val="14"/>
        </w:numPr>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标志牌、标线</w:t>
      </w:r>
      <w:r/>
    </w:p>
    <w:p>
      <w:pPr>
        <w:ind w:left="13"/>
        <w:spacing w:before="183" w:line="22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与红绿灯及监控设备配套</w:t>
      </w:r>
      <w:r>
        <w:rPr>
          <w:rFonts w:hint="eastAsia" w:ascii="宋体" w:hAnsi="宋体" w:cs="宋体"/>
          <w:color w:val="auto"/>
          <w:sz w:val="24"/>
          <w:szCs w:val="24"/>
          <w:highlight w:val="none"/>
          <w:lang w:val="en-US" w:eastAsia="zh-CN" w:bidi="ar-SA"/>
        </w:rPr>
        <w:t xml:space="preserve">（详见对应需求）</w:t>
      </w:r>
      <w:r>
        <w:rPr>
          <w:rFonts w:hint="eastAsia" w:ascii="宋体" w:hAnsi="宋体" w:eastAsia="宋体" w:cs="宋体"/>
          <w:color w:val="auto"/>
          <w:sz w:val="24"/>
          <w:szCs w:val="24"/>
          <w:lang w:val="en-US" w:eastAsia="zh-CN" w:bidi="ar-SA"/>
        </w:rPr>
        <w:t xml:space="preserve">。</w:t>
      </w:r>
      <w:r/>
    </w:p>
    <w:p>
      <w:pPr>
        <w:pStyle w:val="1096"/>
        <w:numPr>
          <w:ilvl w:val="0"/>
          <w:numId w:val="14"/>
        </w:numPr>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其他说明</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17</w:t>
      </w:r>
      <w:r>
        <w:rPr>
          <w:rFonts w:hint="eastAsia" w:ascii="宋体" w:hAnsi="宋体" w:eastAsia="宋体" w:cs="宋体"/>
          <w:b/>
          <w:color w:val="000000"/>
          <w:sz w:val="24"/>
          <w:szCs w:val="24"/>
          <w:lang w:val="en-US" w:eastAsia="zh-CN" w:bidi="ar-SA"/>
        </w:rPr>
        <w:t xml:space="preserve">.1、设备配置要求</w:t>
      </w:r>
      <w:r/>
    </w:p>
    <w:p>
      <w:pPr>
        <w:pStyle w:val="817"/>
        <w:spacing w:line="242" w:lineRule="auto"/>
        <w:rPr>
          <w:rFonts w:hint="eastAsia" w:ascii="宋体" w:hAnsi="宋体" w:eastAsia="宋体" w:cs="宋体"/>
          <w:sz w:val="24"/>
          <w:szCs w:val="24"/>
        </w:rPr>
      </w:pPr>
      <w:r>
        <w:rPr>
          <w:rFonts w:hint="eastAsia" w:ascii="宋体" w:hAnsi="宋体" w:eastAsia="宋体" w:cs="宋体"/>
          <w:sz w:val="24"/>
          <w:szCs w:val="24"/>
        </w:rPr>
      </w:r>
      <w:r/>
    </w:p>
    <w:p>
      <w:pPr>
        <w:pStyle w:val="1096"/>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本次项目拟选用的高清智能抓拍设备及补光装置，灯光效果及图片格式应符合公安部最新国标技术标准。</w:t>
      </w:r>
      <w:r/>
    </w:p>
    <w:p>
      <w:pPr>
        <w:pStyle w:val="1096"/>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智能抓拍设备需与金湖县交警部门现有智能交通综合管控平台、图像专网、公安部集成指挥平台无缝对接，实现与上级平台联网；高清监控球机需接至交警部门指挥中心大屏幕墙；所有数据（图片及录像）均存储至交警部门数据机房智能云存储服务器、硬盘录像机集中统一管理。</w:t>
      </w:r>
      <w:r/>
    </w:p>
    <w:p>
      <w:pPr>
        <w:pStyle w:val="1096"/>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前端抓拍单元、高清球机均设置</w:t>
      </w:r>
      <w:r>
        <w:rPr>
          <w:rFonts w:hint="eastAsia" w:ascii="宋体" w:hAnsi="宋体" w:eastAsia="宋体" w:cs="宋体"/>
          <w:color w:val="auto"/>
          <w:sz w:val="24"/>
          <w:szCs w:val="24"/>
          <w:highlight w:val="none"/>
          <w:lang w:val="en-US" w:eastAsia="zh-CN"/>
        </w:rPr>
        <w:t xml:space="preserve">不少于64G的存储卡</w:t>
      </w:r>
      <w:r>
        <w:rPr>
          <w:rFonts w:hint="eastAsia" w:ascii="宋体" w:hAnsi="宋体" w:eastAsia="宋体" w:cs="宋体"/>
          <w:color w:val="auto"/>
          <w:sz w:val="24"/>
          <w:szCs w:val="24"/>
          <w:lang w:val="en-US" w:eastAsia="zh-CN"/>
        </w:rPr>
        <w:t xml:space="preserve">，以备网络临时中断，前端路口的数据进行临时存储，确保数据不丢失。</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17</w:t>
      </w:r>
      <w:r>
        <w:rPr>
          <w:rFonts w:hint="eastAsia" w:ascii="宋体" w:hAnsi="宋体" w:eastAsia="宋体" w:cs="宋体"/>
          <w:b/>
          <w:color w:val="000000"/>
          <w:sz w:val="24"/>
          <w:szCs w:val="24"/>
          <w:lang w:val="en-US" w:eastAsia="zh-CN" w:bidi="ar-SA"/>
        </w:rPr>
        <w:t xml:space="preserve">.2、现场实地勘探要求</w:t>
      </w:r>
      <w:r/>
    </w:p>
    <w:p>
      <w:pPr>
        <w:pStyle w:val="1096"/>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潜在投标人应自行踏勘现场，充分了解现场各个交叉道口及</w:t>
      </w:r>
      <w:r>
        <w:rPr>
          <w:rFonts w:hint="eastAsia" w:ascii="宋体" w:hAnsi="宋体" w:eastAsia="宋体" w:cs="宋体"/>
          <w:color w:val="auto"/>
          <w:sz w:val="24"/>
          <w:szCs w:val="24"/>
          <w:lang w:val="en-US" w:eastAsia="zh-CN"/>
        </w:rPr>
        <w:t xml:space="preserve">各处建设点位的施工环境、 接电路由、数据传输链路、各种地下管道管网设施、各种因中标后需协调申请及履行办理手续事项、交警部门平台运行环境、核心汇聚网络架构、系统联网对接环境、Oracleserver及管控平台升级、建立大数据云存储架构以及其他有可能承担的风险、责任和义务，投标人对招标文件和踏勘现场所做出的推论、解释和结论所造成的后果，招标人概不负责。未踏勘现场的投标人中标后，不得以不完全了解现场情况为理由而向招标人提出任何索赔的要求，对此招标人不承担任何责任并将不作任何答复，由此造成的影响及后果由投标人承担。</w:t>
      </w:r>
      <w:r/>
    </w:p>
    <w:p>
      <w:pPr>
        <w:pStyle w:val="1096"/>
        <w:spacing w:line="360" w:lineRule="auto"/>
        <w:rPr>
          <w:rFonts w:hint="default"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rPr>
        <w:t xml:space="preserve">现场踏勘联系人：</w:t>
      </w:r>
      <w:r>
        <w:rPr>
          <w:rFonts w:hint="eastAsia" w:ascii="宋体" w:hAnsi="宋体" w:eastAsia="宋体" w:cs="宋体"/>
          <w:b/>
          <w:bCs/>
          <w:color w:val="ff0000"/>
          <w:sz w:val="24"/>
          <w:szCs w:val="24"/>
          <w:highlight w:val="none"/>
          <w:lang w:val="en-US" w:eastAsia="zh-CN"/>
        </w:rPr>
        <w:t xml:space="preserve">王梦雪 </w:t>
      </w:r>
      <w:r>
        <w:rPr>
          <w:rFonts w:hint="eastAsia" w:ascii="宋体" w:hAnsi="宋体" w:eastAsia="宋体" w:cs="宋体"/>
          <w:b/>
          <w:bCs/>
          <w:color w:val="ff0000"/>
          <w:sz w:val="24"/>
          <w:szCs w:val="24"/>
          <w:highlight w:val="none"/>
        </w:rPr>
        <w:t xml:space="preserve">联系方式：</w:t>
      </w:r>
      <w:r>
        <w:rPr>
          <w:rFonts w:hint="eastAsia" w:ascii="宋体" w:hAnsi="宋体" w:eastAsia="宋体" w:cs="宋体"/>
          <w:b/>
          <w:bCs/>
          <w:color w:val="ff0000"/>
          <w:sz w:val="24"/>
          <w:szCs w:val="24"/>
          <w:highlight w:val="none"/>
          <w:lang w:val="en-US" w:eastAsia="zh-CN"/>
        </w:rPr>
        <w:t xml:space="preserve">15195396808</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17</w:t>
      </w:r>
      <w:r>
        <w:rPr>
          <w:rFonts w:hint="eastAsia" w:ascii="宋体" w:hAnsi="宋体" w:eastAsia="宋体" w:cs="宋体"/>
          <w:b/>
          <w:color w:val="000000"/>
          <w:sz w:val="24"/>
          <w:szCs w:val="24"/>
          <w:lang w:val="en-US" w:eastAsia="zh-CN" w:bidi="ar-SA"/>
        </w:rPr>
        <w:t xml:space="preserve">.3、交叉道口过路管道及附属管道施工、电缆过线接线井要求</w:t>
      </w:r>
      <w:r/>
    </w:p>
    <w:p>
      <w:pPr>
        <w:pStyle w:val="1096"/>
        <w:ind w:firstLine="480"/>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lang w:val="en-US" w:eastAsia="zh-CN"/>
        </w:rPr>
        <w:t xml:space="preserve">对交叉道口的主干过路管道，严禁破坏切割开挖道路，确保交叉道路路面完整，涉及过路管道一律采用非开挖顶管，规格为¢40或¢40以上硅芯管不少于两根，具体以各项系统图纸要求为准，</w:t>
      </w:r>
      <w:r>
        <w:rPr>
          <w:rFonts w:hint="eastAsia" w:ascii="宋体" w:hAnsi="宋体" w:eastAsia="宋体" w:cs="宋体"/>
          <w:color w:val="auto"/>
          <w:sz w:val="24"/>
          <w:szCs w:val="24"/>
          <w:highlight w:val="none"/>
          <w:lang w:val="en-US" w:eastAsia="zh-CN"/>
        </w:rPr>
        <w:t xml:space="preserve">非开挖顶管施工作业二端均进行设置接线井，具体以构造详图为准，材质采用铸铁井盖。</w:t>
      </w:r>
      <w:r/>
    </w:p>
    <w:p>
      <w:pPr>
        <w:pStyle w:val="1096"/>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信号机柜、电警控制机柜立于一处，靠近设置，基础高于地面20CM以上；机柜旁必须设置便于维护的总接线窨井，井盖要求能承载1人站立的重量，附属管道沿途均设置电缆标识桩，以起提醒警示作用。</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17</w:t>
      </w:r>
      <w:r>
        <w:rPr>
          <w:rFonts w:hint="eastAsia" w:ascii="宋体" w:hAnsi="宋体" w:eastAsia="宋体" w:cs="宋体"/>
          <w:b/>
          <w:color w:val="000000"/>
          <w:sz w:val="24"/>
          <w:szCs w:val="24"/>
          <w:lang w:val="en-US" w:eastAsia="zh-CN" w:bidi="ar-SA"/>
        </w:rPr>
        <w:t xml:space="preserve">.4、建设点位后续施工及安装调试要求</w:t>
      </w:r>
      <w:r/>
    </w:p>
    <w:p>
      <w:pPr>
        <w:pStyle w:val="1096"/>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本次货物采购所涉及的主要产品（设备）均需满足国家标准和规范，进场时需由建设单位、公安交警部门组织进行联合验收，不合格品严禁进入施工现场，相关设备或产品经验合格后方可进场安装，确保质量；</w:t>
      </w:r>
      <w:r/>
    </w:p>
    <w:p>
      <w:pPr>
        <w:pStyle w:val="1096"/>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次建设点位的具体安装位置，可根据实地情况在建设单位、公安交警等管理部门的指导下进行适当调整，并在公安交警部门的指导下进行施工。如涉及设计范围以外的工程量（本次确需实施），可以在管理部门的指导下适当调整，最终以实际工程量为准。</w:t>
      </w:r>
      <w:r/>
    </w:p>
    <w:p>
      <w:pPr>
        <w:pStyle w:val="1096"/>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施工单位施工前，应提供详细的施工方案，并提交招标人认可；应对具体建设点位周边及地下各类管道管线管网、线缆、障碍物进一步核查，确认无误后方可施工，确保土建等基础施工及线缆敷设不损害其他管道及线缆。</w:t>
      </w:r>
      <w:r/>
    </w:p>
    <w:p>
      <w:pPr>
        <w:pStyle w:val="1096"/>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施工期间，可以根据各建设点位现场实际情况适当调整手井位置和顶管及辅路管道的走向，但是必须满足相关国家标准和规范，并且不得损害到其他管道及线缆。如果道路情况复杂，不具备顶管条件，在征得管理部门同意的情况下，可以采取破路方式敷设管道或架空敷设方案。所有电缆应整理整齐，不得有多余线缆接头裸露在外。</w:t>
      </w:r>
      <w:r/>
    </w:p>
    <w:p>
      <w:pPr>
        <w:pStyle w:val="1096"/>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施工完成后，管理部门必须对实施后的交通设施（如：紧固件和连接件等）定期进行日常维护和检查，保证设施的安全性和有效性，组织人员定期定时巡查。</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17</w:t>
      </w:r>
      <w:r>
        <w:rPr>
          <w:rFonts w:hint="eastAsia" w:ascii="宋体" w:hAnsi="宋体" w:eastAsia="宋体" w:cs="宋体"/>
          <w:b/>
          <w:color w:val="000000"/>
          <w:sz w:val="24"/>
          <w:szCs w:val="24"/>
          <w:lang w:val="en-US" w:eastAsia="zh-CN" w:bidi="ar-SA"/>
        </w:rPr>
        <w:t xml:space="preserve">.5、建设工期要求</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 xml:space="preserve">完工期：合同签订生效后的90日历天</w:t>
      </w:r>
      <w:r>
        <w:rPr>
          <w:rFonts w:hint="eastAsia" w:ascii="宋体" w:hAnsi="宋体" w:eastAsia="宋体" w:cs="宋体"/>
          <w:b/>
          <w:bCs/>
          <w:color w:val="auto"/>
          <w:sz w:val="24"/>
          <w:highlight w:val="none"/>
          <w:lang w:val="en-US" w:eastAsia="zh-CN"/>
        </w:rPr>
        <w:t xml:space="preserve">（具体以招标人通知时间为准）</w:t>
      </w:r>
      <w:r>
        <w:rPr>
          <w:rFonts w:hint="eastAsia" w:ascii="宋体" w:hAnsi="宋体" w:eastAsia="宋体" w:cs="宋体"/>
          <w:color w:val="auto"/>
          <w:sz w:val="24"/>
          <w:szCs w:val="24"/>
          <w:lang w:eastAsia="zh-CN"/>
        </w:rPr>
        <w:t xml:space="preserve">。</w:t>
      </w:r>
      <w:r/>
    </w:p>
    <w:p>
      <w:pPr>
        <w:pStyle w:val="1096"/>
        <w:ind w:firstLine="480"/>
        <w:spacing w:line="360" w:lineRule="auto"/>
        <w:rPr>
          <w:rFonts w:hint="eastAsia" w:ascii="宋体" w:hAnsi="宋体" w:eastAsia="宋体" w:cs="宋体"/>
          <w:sz w:val="24"/>
          <w:szCs w:val="24"/>
        </w:rPr>
      </w:pPr>
      <w:r>
        <w:rPr>
          <w:rFonts w:hint="eastAsia" w:ascii="宋体" w:hAnsi="宋体" w:eastAsia="宋体" w:cs="宋体"/>
          <w:color w:val="auto"/>
          <w:sz w:val="24"/>
          <w:szCs w:val="24"/>
          <w:lang w:eastAsia="zh-CN"/>
        </w:rPr>
        <w:t xml:space="preserve">中标人应确保其技术以及所提供的软、硬件设备或配件的完整性、实用性，保证全部系统及时交付投入正常运行。若出现因投标人提供的软、硬件设备不满足要求、不合理，或者其所提供的技术支持和服务不全面，而导致系统无法实现或不能完全实现的状况或无法接入，中标人负全部责任。</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17</w:t>
      </w:r>
      <w:r>
        <w:rPr>
          <w:rFonts w:hint="eastAsia" w:ascii="宋体" w:hAnsi="宋体" w:eastAsia="宋体" w:cs="宋体"/>
          <w:b/>
          <w:color w:val="000000"/>
          <w:sz w:val="24"/>
          <w:szCs w:val="24"/>
          <w:lang w:val="en-US" w:eastAsia="zh-CN" w:bidi="ar-SA"/>
        </w:rPr>
        <w:t xml:space="preserve">.6、质保期及运维要求</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本次项目涉及建设点位众多，涉及内容较多，分类如下：</w:t>
      </w:r>
      <w:r/>
    </w:p>
    <w:p>
      <w:pPr>
        <w:pStyle w:val="1096"/>
        <w:numPr>
          <w:ilvl w:val="0"/>
          <w:numId w:val="15"/>
        </w:num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热熔标线：原则上对本次所有划线工程量均不低于2年的免费质保期，两年内（非意外事件如下雪天气因铲雪车铲雪工作致使标线被铲坏等）发生大面积的脱落损坏或褪色暗淡等由施工单位负责免费重新修补施划；</w:t>
      </w:r>
      <w:r/>
    </w:p>
    <w:p>
      <w:pPr>
        <w:pStyle w:val="1096"/>
        <w:numPr>
          <w:ilvl w:val="0"/>
          <w:numId w:val="0"/>
        </w:num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（2）标志牌：标牌反光膜质保期不少于2年，2年内如涉及标牌反光膜褪色不反光等一律由施工单位免费更换更新处理；</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）信号设备：免费质保不低于2年；</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）各类抓拍设备、补光设备：免费质保不低于2年；</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）机房服务器：执行厂家质保，免费质保不低于2年；</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）企业级服务器硬盘、监控级硬盘 ：免费质保期不低于2年，两年内发生故障免费更换。</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所有建设点位故障现象维修更换设备或配件质保期：二年。保修期内，中标供货商负责产品厂家对其提供的设备、软件进行现场维修，不收取额外费用；保证在质保期内，如不能提供同规格型号的配件，应提供免费平滑升级，不再另外收取差价。</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设备在质保期内发生软、硬件故障，中标供货商应及时予以响应，免费上门服务。否则招标人将自行采取必要的措施，由此产生风险和费用应由其承担。</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保修期内出现设备故障，如在开始维修后2小时内不能解决问题，应免费在24小时内用同样的品牌、规格或更高的部件更换维修到位。</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投标人必须承诺7*24小时全天候响应，24小时内提供相应的备件。如设备为人为损坏由采购单位负责，自然损坏由中标供应商负责。</w:t>
      </w:r>
      <w:r>
        <w:rPr>
          <w:rFonts w:hint="eastAsia" w:ascii="宋体" w:hAnsi="宋体" w:eastAsia="宋体" w:cs="宋体"/>
          <w:b/>
          <w:bCs/>
          <w:color w:val="auto"/>
          <w:sz w:val="24"/>
          <w:szCs w:val="24"/>
          <w:highlight w:val="none"/>
          <w:lang w:eastAsia="zh-CN"/>
        </w:rPr>
        <w:t xml:space="preserve">（提供承诺书加盖公章）</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17</w:t>
      </w:r>
      <w:r>
        <w:rPr>
          <w:rFonts w:hint="eastAsia" w:ascii="宋体" w:hAnsi="宋体" w:eastAsia="宋体" w:cs="宋体"/>
          <w:b/>
          <w:color w:val="000000"/>
          <w:sz w:val="24"/>
          <w:szCs w:val="24"/>
          <w:lang w:val="en-US" w:eastAsia="zh-CN" w:bidi="ar-SA"/>
        </w:rPr>
        <w:t xml:space="preserve">.7、验收及培训要求</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验收</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量及验收：招标人根据国家有关规定、招标文件、中标方的投标文件以及合同约定的内容和验收标准进行验收。验收情况作为支付货款的依据。设备到货后，用户单位与中标单位共同配合对所有设备进行开箱检查，出现损坏、数量不全或产品不对等问题时，由中标单位负责解决。</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根据标书要求对本次采购设备的型号、规格、数量、</w:t>
      </w:r>
      <w:r>
        <w:rPr>
          <w:rFonts w:hint="eastAsia" w:ascii="宋体" w:hAnsi="宋体" w:eastAsia="宋体" w:cs="宋体"/>
          <w:color w:val="auto"/>
          <w:sz w:val="24"/>
          <w:szCs w:val="24"/>
          <w:highlight w:val="none"/>
          <w:lang w:eastAsia="zh-CN"/>
        </w:rPr>
        <w:t xml:space="preserve">外形</w:t>
      </w:r>
      <w:r>
        <w:rPr>
          <w:rFonts w:hint="eastAsia" w:ascii="宋体" w:hAnsi="宋体" w:eastAsia="宋体" w:cs="宋体"/>
          <w:color w:val="auto"/>
          <w:sz w:val="24"/>
          <w:szCs w:val="24"/>
          <w:lang w:eastAsia="zh-CN"/>
        </w:rPr>
        <w:t xml:space="preserve">、外观、包装及资料、文件（如装箱单、保修单、随箱介质等）进行验收。</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设备安装完成，由中标单位制定测试方案并经用户确认后，对产品的性能和配置进行测试验收，并形成测试验收报告。</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技术</w:t>
      </w:r>
      <w:r>
        <w:rPr>
          <w:rFonts w:hint="eastAsia" w:ascii="宋体" w:hAnsi="宋体" w:cs="宋体"/>
          <w:b/>
          <w:color w:val="000000"/>
          <w:sz w:val="24"/>
          <w:szCs w:val="24"/>
          <w:highlight w:val="none"/>
          <w:lang w:val="en-US" w:eastAsia="zh-CN" w:bidi="ar-SA"/>
        </w:rPr>
        <w:t xml:space="preserve">文档</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中标人必须在对其所提供的设备进行安装、测试、验收过程中提供和准备的技术文档。</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技术文件：中标人必须向项目单位提供设备的安装、运行、使用、测试、诊断和维修的技术文件。</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安装计划：安装日期是中标人执行合同的开始，最少包含运输、交货、测试、调试、正常运行等各阶段时间计划。</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安装指南：投标人应当提供所购软硬件设备的安装指南。</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培训与服务</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为用户提供全面的技术支持，帮助用户及时解决系统运行中遇到的技术问题。</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配合用户根据用户运行环境和要求调整操作系统、数据库等性能参数及其他系统参数。</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在系统开通后，在发生系统故障的情况下，中标供货商需无偿到现场配合子系统承包商分析问题。</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投标人需服从采购方及公安交警部门的工作安排与进度安排。</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定期上门检查整套系统的运行情况，并能根据用户系统变化情况及时调整优化。</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提前联系采购方及公安交警部门落实培训人员及数量，组织项目建设所实施的多场次培训服务，包括组织人员接受生产制造厂家培训、施工现场技术培训、常规故障培训、机房系统运行操作培训等；</w:t>
      </w:r>
      <w:r/>
    </w:p>
    <w:p>
      <w:pPr>
        <w:pStyle w:val="1096"/>
        <w:numPr>
          <w:ilvl w:val="0"/>
          <w:numId w:val="14"/>
        </w:numPr>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货物清单</w:t>
      </w:r>
      <w:r/>
    </w:p>
    <w:tbl>
      <w:tblPr>
        <w:tblStyle w:val="813"/>
        <w:tblW w:w="10552" w:type="dxa"/>
        <w:tblInd w:w="-1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4077"/>
        <w:gridCol w:w="2427"/>
        <w:gridCol w:w="503"/>
        <w:gridCol w:w="692"/>
        <w:gridCol w:w="1974"/>
      </w:tblGrid>
      <w:tr>
        <w:trPr>
          <w:trHeight w:val="697"/>
        </w:trPr>
        <w:tc>
          <w:tcPr>
            <w:tcW w:w="879" w:type="dxa"/>
            <w:vAlign w:val="center"/>
            <w:textDirection w:val="lrTb"/>
            <w:noWrap w:val="false"/>
          </w:tcPr>
          <w:p>
            <w:pPr>
              <w:jc w:val="center"/>
              <w:rPr>
                <w:rFonts w:ascii="宋体" w:hAnsi="宋体" w:cs="宋体"/>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序号</w:t>
            </w:r>
            <w:r/>
          </w:p>
        </w:tc>
        <w:tc>
          <w:tcPr>
            <w:tcW w:w="4077" w:type="dxa"/>
            <w:vAlign w:val="center"/>
            <w:textDirection w:val="lrTb"/>
            <w:noWrap w:val="false"/>
          </w:tcPr>
          <w:p>
            <w:pPr>
              <w:jc w:val="center"/>
              <w:rPr>
                <w:rFonts w:ascii="宋体" w:hAnsi="宋体" w:cs="宋体"/>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名称</w:t>
            </w:r>
            <w:r/>
          </w:p>
        </w:tc>
        <w:tc>
          <w:tcPr>
            <w:tcW w:w="2427" w:type="dxa"/>
            <w:vAlign w:val="center"/>
            <w:textDirection w:val="lrTb"/>
            <w:noWrap w:val="false"/>
          </w:tcPr>
          <w:p>
            <w:pPr>
              <w:jc w:val="center"/>
              <w:rPr>
                <w:rFonts w:ascii="宋体" w:hAnsi="宋体" w:cs="宋体"/>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主要规格参数</w:t>
            </w:r>
            <w:r/>
          </w:p>
        </w:tc>
        <w:tc>
          <w:tcPr>
            <w:tcW w:w="503" w:type="dxa"/>
            <w:vAlign w:val="center"/>
            <w:textDirection w:val="lrTb"/>
            <w:noWrap w:val="false"/>
          </w:tcPr>
          <w:p>
            <w:pPr>
              <w:jc w:val="center"/>
              <w:rPr>
                <w:rFonts w:ascii="宋体" w:hAnsi="宋体" w:cs="宋体"/>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单位</w:t>
            </w:r>
            <w:r/>
          </w:p>
        </w:tc>
        <w:tc>
          <w:tcPr>
            <w:tcW w:w="692" w:type="dxa"/>
            <w:vAlign w:val="center"/>
            <w:textDirection w:val="lrTb"/>
            <w:noWrap w:val="false"/>
          </w:tcPr>
          <w:p>
            <w:pPr>
              <w:jc w:val="center"/>
              <w:rPr>
                <w:rFonts w:ascii="宋体" w:hAnsi="宋体" w:cs="宋体"/>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数量 </w:t>
            </w:r>
            <w:r/>
          </w:p>
        </w:tc>
        <w:tc>
          <w:tcPr>
            <w:tcW w:w="1974" w:type="dxa"/>
            <w:vAlign w:val="center"/>
            <w:textDirection w:val="lrTb"/>
            <w:noWrap w:val="false"/>
          </w:tcPr>
          <w:p>
            <w:pPr>
              <w:jc w:val="center"/>
              <w:rPr>
                <w:rFonts w:hint="eastAsia"/>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备注</w:t>
            </w:r>
            <w:r/>
          </w:p>
        </w:tc>
      </w:tr>
      <w:tr>
        <w:trPr>
          <w:trHeight w:val="90"/>
        </w:trPr>
        <w:tc>
          <w:tcPr>
            <w:tcW w:w="879" w:type="dxa"/>
            <w:vAlign w:val="center"/>
            <w:textDirection w:val="lrTb"/>
            <w:noWrap w:val="false"/>
          </w:tcPr>
          <w:p>
            <w:pPr>
              <w:jc w:val="center"/>
              <w:spacing w:line="340" w:lineRule="exact"/>
              <w:tabs>
                <w:tab w:val="left" w:pos="420" w:leader="none"/>
              </w:tabs>
              <w:rPr>
                <w:rFonts w:hint="default" w:eastAsia="宋体"/>
                <w:b/>
                <w:bCs/>
                <w:color w:val="000000" w:themeColor="text1"/>
                <w:sz w:val="21"/>
                <w:szCs w:val="21"/>
                <w:highlight w:val="none"/>
                <w:lang w:val="en-US" w:eastAsia="zh-CN"/>
                <w14:textFill>
                  <w14:solidFill>
                    <w14:schemeClr w14:val="tx1"/>
                  </w14:solidFill>
                </w14:textFill>
              </w:rPr>
            </w:pPr>
            <w:r>
              <w:rPr>
                <w:rFonts w:hint="eastAsia"/>
                <w:b/>
                <w:bCs/>
                <w:color w:val="000000" w:themeColor="text1"/>
                <w:sz w:val="21"/>
                <w:szCs w:val="21"/>
                <w:highlight w:val="none"/>
                <w:lang w:val="en-US" w:eastAsia="zh-CN"/>
                <w14:textFill>
                  <w14:solidFill>
                    <w14:schemeClr w14:val="tx1"/>
                  </w14:solidFill>
                </w14:textFill>
              </w:rPr>
              <w:t xml:space="preserve">一</w:t>
            </w:r>
            <w:r/>
          </w:p>
        </w:tc>
        <w:tc>
          <w:tcPr>
            <w:gridSpan w:val="5"/>
            <w:tcW w:w="9673" w:type="dxa"/>
            <w:vAlign w:val="center"/>
            <w:textDirection w:val="lrTb"/>
            <w:noWrap w:val="false"/>
          </w:tcPr>
          <w:p>
            <w:pPr>
              <w:jc w:val="both"/>
              <w:rPr>
                <w:rFonts w:hint="default" w:eastAsia="宋体"/>
                <w:b/>
                <w:bCs/>
                <w:color w:val="000000" w:themeColor="text1"/>
                <w:sz w:val="21"/>
                <w:szCs w:val="21"/>
                <w:highlight w:val="none"/>
                <w:lang w:val="en-US" w:eastAsia="zh-CN"/>
                <w14:textFill>
                  <w14:solidFill>
                    <w14:schemeClr w14:val="tx1"/>
                  </w14:solidFill>
                </w14:textFill>
              </w:rPr>
            </w:pPr>
            <w:r>
              <w:rPr>
                <w:rFonts w:hint="eastAsia" w:cs="Tahoma"/>
                <w:b/>
                <w:bCs/>
                <w:color w:val="000000" w:themeColor="text1"/>
                <w:sz w:val="21"/>
                <w:szCs w:val="21"/>
                <w:highlight w:val="none"/>
                <w:lang w:val="en-US" w:eastAsia="zh-CN"/>
                <w14:textFill>
                  <w14:solidFill>
                    <w14:schemeClr w14:val="tx1"/>
                  </w14:solidFill>
                </w14:textFill>
              </w:rPr>
              <w:t xml:space="preserve"> 工程数量汇总表</w:t>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w:t>
            </w:r>
            <w:r/>
          </w:p>
        </w:tc>
        <w:tc>
          <w:tcPr>
            <w:tcW w:w="4077" w:type="dxa"/>
            <w:vAlign w:val="center"/>
            <w:textDirection w:val="lrTb"/>
            <w:noWrap w:val="false"/>
          </w:tcPr>
          <w:p>
            <w:pPr>
              <w:jc w:val="center"/>
              <w:keepLines w:val="0"/>
              <w:keepNext w:val="0"/>
              <w:widowControl/>
              <w:rPr>
                <w:rFonts w:hint="default" w:eastAsia="宋体"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重复显示器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可变倒计时显示屏</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(640±50mm*960±50mmLED 显示屏)</w:t>
            </w:r>
            <w:r/>
          </w:p>
          <w:p>
            <w:pPr>
              <w:jc w:val="center"/>
              <w:keepLines w:val="0"/>
              <w:keepNext w:val="0"/>
              <w:widowControl/>
              <w:rPr>
                <w:rFonts w:hint="eastAsia" w:eastAsia="宋体"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路口</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1.2</w:t>
            </w:r>
            <w:r/>
          </w:p>
        </w:tc>
        <w:tc>
          <w:tcPr>
            <w:tcW w:w="4077" w:type="dxa"/>
            <w:vAlign w:val="center"/>
            <w:textDirection w:val="lrTb"/>
            <w:noWrap w:val="false"/>
          </w:tcPr>
          <w:p>
            <w:pPr>
              <w:jc w:val="center"/>
              <w:keepLines w:val="0"/>
              <w:keepNext w:val="0"/>
              <w:widowControl/>
              <w:rPr>
                <w:rFonts w:hint="default" w:eastAsia="宋体"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现状倒计时器拆除利用</w:t>
            </w:r>
            <w:r/>
          </w:p>
        </w:tc>
        <w:tc>
          <w:tcPr>
            <w:tcW w:w="2427" w:type="dxa"/>
            <w:vAlign w:val="center"/>
            <w:textDirection w:val="lrTb"/>
            <w:noWrap w:val="false"/>
          </w:tcPr>
          <w:p>
            <w:pPr>
              <w:pStyle w:val="836"/>
              <w:ind w:left="0" w:right="0" w:firstLine="0"/>
              <w:keepLines w:val="0"/>
              <w:keepNext w:val="0"/>
              <w:spacing w:before="0" w:beforeAutospacing="0" w:after="0" w:afterAutospacing="0"/>
              <w:widowControl/>
              <w:rPr>
                <w:rFonts w:cs="Tahoma"/>
                <w:b w:val="0"/>
                <w:bCs w:val="0"/>
                <w:color w:val="000000" w:themeColor="text1"/>
                <w:sz w:val="21"/>
                <w:szCs w:val="21"/>
                <w:highlight w:val="none"/>
                <w14:textFill>
                  <w14:solidFill>
                    <w14:schemeClr w14:val="tx1"/>
                  </w14:solidFill>
                </w14:textFill>
              </w:rPr>
              <w:suppressLineNumbers w:val="0"/>
            </w:pPr>
            <w:r>
              <w:rPr>
                <w:rFonts w:ascii="宋体" w:hAnsi="宋体" w:eastAsia="宋体" w:cs="宋体"/>
                <w:color w:val="000000" w:themeColor="text1"/>
                <w:sz w:val="22"/>
                <w:szCs w:val="22"/>
                <w:highlight w:val="none"/>
                <w14:textFill>
                  <w14:solidFill>
                    <w14:schemeClr w14:val="tx1"/>
                  </w14:solidFill>
                </w14:textFill>
              </w:rPr>
              <w:t xml:space="preserve">新建可变倒计时显示屏路口现状倒计时器按业主要求拆除放置指定仓库</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路口</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1.3</w:t>
            </w:r>
            <w:r/>
          </w:p>
        </w:tc>
        <w:tc>
          <w:tcPr>
            <w:tcW w:w="4077" w:type="dxa"/>
            <w:vAlign w:val="center"/>
            <w:textDirection w:val="lrTb"/>
            <w:noWrap w:val="false"/>
          </w:tcPr>
          <w:p>
            <w:pPr>
              <w:jc w:val="center"/>
              <w:keepLines w:val="0"/>
              <w:keepNext w:val="0"/>
              <w:widowControl/>
              <w:rPr>
                <w:rFonts w:hint="default" w:eastAsia="宋体"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网络服务器</w:t>
            </w:r>
            <w:r/>
          </w:p>
        </w:tc>
        <w:tc>
          <w:tcPr>
            <w:tcW w:w="2427" w:type="dxa"/>
            <w:vAlign w:val="center"/>
            <w:textDirection w:val="lrTb"/>
            <w:noWrap w:val="false"/>
          </w:tcPr>
          <w:p>
            <w:pPr>
              <w:jc w:val="center"/>
              <w:keepLines w:val="0"/>
              <w:keepNext w:val="0"/>
              <w:widowControl/>
              <w:rPr>
                <w:rFonts w:cs="Tahoma"/>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数据智能云存储服务器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1.4</w:t>
            </w:r>
            <w:r/>
          </w:p>
        </w:tc>
        <w:tc>
          <w:tcPr>
            <w:tcW w:w="4077" w:type="dxa"/>
            <w:vAlign w:val="center"/>
            <w:textDirection w:val="lrTb"/>
            <w:noWrap w:val="false"/>
          </w:tcPr>
          <w:p>
            <w:pPr>
              <w:jc w:val="center"/>
              <w:keepLines w:val="0"/>
              <w:keepNext w:val="0"/>
              <w:widowControl/>
              <w:rPr>
                <w:rFonts w:hint="default" w:eastAsia="宋体"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标志板</w:t>
            </w:r>
            <w:r/>
          </w:p>
        </w:tc>
        <w:tc>
          <w:tcPr>
            <w:tcW w:w="2427"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靠右行驶标志D600</w:t>
            </w:r>
            <w:r/>
          </w:p>
          <w:p>
            <w:pPr>
              <w:jc w:val="both"/>
              <w:keepLines w:val="0"/>
              <w:keepNext w:val="0"/>
              <w:widowControl/>
              <w:rPr>
                <w:rFonts w:cs="Tahoma"/>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1.5</w:t>
            </w:r>
            <w:r/>
          </w:p>
        </w:tc>
        <w:tc>
          <w:tcPr>
            <w:tcW w:w="4077" w:type="dxa"/>
            <w:vAlign w:val="center"/>
            <w:textDirection w:val="lrTb"/>
            <w:noWrap w:val="false"/>
          </w:tcPr>
          <w:p>
            <w:pPr>
              <w:jc w:val="center"/>
              <w:keepLines w:val="0"/>
              <w:keepNext w:val="0"/>
              <w:widowControl/>
              <w:rPr>
                <w:rFonts w:hint="default" w:eastAsia="宋体"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标志板</w:t>
            </w:r>
            <w:r/>
          </w:p>
        </w:tc>
        <w:tc>
          <w:tcPr>
            <w:tcW w:w="2427" w:type="dxa"/>
            <w:vAlign w:val="center"/>
            <w:textDirection w:val="lrTb"/>
            <w:noWrap w:val="false"/>
          </w:tcPr>
          <w:p>
            <w:pPr>
              <w:jc w:val="both"/>
              <w:keepLines w:val="0"/>
              <w:keepNext w:val="0"/>
              <w:widowControl/>
              <w:rPr>
                <w:rFonts w:cs="Tahoma"/>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机非分隔标志2*D600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w:t>
            </w:r>
            <w:r/>
          </w:p>
        </w:tc>
        <w:tc>
          <w:tcPr>
            <w:tcW w:w="1974" w:type="dxa"/>
            <w:vAlign w:val="center"/>
            <w:textDirection w:val="lrTb"/>
            <w:noWrap w:val="false"/>
          </w:tcPr>
          <w:p>
            <w:pPr>
              <w:jc w:val="left"/>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1.6</w:t>
            </w:r>
            <w:r/>
          </w:p>
        </w:tc>
        <w:tc>
          <w:tcPr>
            <w:tcW w:w="4077" w:type="dxa"/>
            <w:vAlign w:val="center"/>
            <w:textDirection w:val="lrTb"/>
            <w:noWrap w:val="false"/>
          </w:tcPr>
          <w:p>
            <w:pPr>
              <w:jc w:val="center"/>
              <w:keepLines w:val="0"/>
              <w:keepNext w:val="0"/>
              <w:widowControl/>
              <w:rPr>
                <w:rFonts w:hint="default"/>
                <w:color w:val="000000" w:themeColor="text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接地装置</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接地极 镀锌角钢L50x50x5，L=2500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镀锌扁钢40x4</w:t>
            </w:r>
            <w:r/>
          </w:p>
          <w:p>
            <w:pPr>
              <w:jc w:val="center"/>
              <w:keepLines w:val="0"/>
              <w:keepNext w:val="0"/>
              <w:widowControl/>
              <w:rPr>
                <w:rFonts w:cs="Tahoma"/>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接地引线 镀锌扁钢50x5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接线端子200x50x5铜条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处</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128</w:t>
            </w:r>
            <w:r/>
          </w:p>
        </w:tc>
        <w:tc>
          <w:tcPr>
            <w:tcW w:w="1974" w:type="dxa"/>
            <w:vAlign w:val="top"/>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1.7</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存储卡TF卡（个）</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存储卡TF卡(个)信号灯系统以外的设备配套存储卡,64G具体做法详见图纸设计及采购需求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86</w:t>
            </w:r>
            <w:r/>
          </w:p>
        </w:tc>
        <w:tc>
          <w:tcPr>
            <w:tcW w:w="1974" w:type="dxa"/>
            <w:vAlign w:val="top"/>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1.8</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新增礼让行人标线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80</w:t>
            </w:r>
            <w:r/>
          </w:p>
        </w:tc>
        <w:tc>
          <w:tcPr>
            <w:tcW w:w="1974" w:type="dxa"/>
            <w:vAlign w:val="top"/>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1.9</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其他路口路段标线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11272</w:t>
            </w:r>
            <w:r/>
          </w:p>
        </w:tc>
        <w:tc>
          <w:tcPr>
            <w:tcW w:w="1974" w:type="dxa"/>
            <w:vAlign w:val="top"/>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1.10</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金属栏杆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机非隔离栏杆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5483</w:t>
            </w:r>
            <w:r/>
          </w:p>
        </w:tc>
        <w:tc>
          <w:tcPr>
            <w:tcW w:w="1974" w:type="dxa"/>
            <w:vAlign w:val="top"/>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1.11</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金属栏杆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中央隔离栏杆(一般段)</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1000</w:t>
            </w:r>
            <w:r/>
          </w:p>
        </w:tc>
        <w:tc>
          <w:tcPr>
            <w:tcW w:w="1974" w:type="dxa"/>
            <w:vAlign w:val="top"/>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1.12</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金属栏杆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中央隔离栏杆(降低段)</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135</w:t>
            </w:r>
            <w:r/>
          </w:p>
        </w:tc>
        <w:tc>
          <w:tcPr>
            <w:tcW w:w="1974" w:type="dxa"/>
            <w:vAlign w:val="top"/>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1.13</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防撞筒（墩）</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钢防撞护栏</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型钢、C30砼70.2立方米、模板、钢筋16钢筋12 、6628.4+4985.8+1328.8千克等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468</w:t>
            </w:r>
            <w:r/>
          </w:p>
        </w:tc>
        <w:tc>
          <w:tcPr>
            <w:tcW w:w="1974" w:type="dxa"/>
            <w:vAlign w:val="top"/>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1.14</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警示柱</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道口标柱</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tcW w:w="692"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55</w:t>
            </w:r>
            <w:r/>
          </w:p>
        </w:tc>
        <w:tc>
          <w:tcPr>
            <w:tcW w:w="1974" w:type="dxa"/>
            <w:vAlign w:val="top"/>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526"/>
        </w:trPr>
        <w:tc>
          <w:tcPr>
            <w:shd w:val="clear" w:color="auto" w:fill="auto"/>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1.15</w:t>
            </w:r>
            <w:r/>
          </w:p>
        </w:tc>
        <w:tc>
          <w:tcPr>
            <w:shd w:val="clear" w:color="auto" w:fill="auto"/>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标记</w:t>
            </w:r>
            <w:r/>
          </w:p>
        </w:tc>
        <w:tc>
          <w:tcPr>
            <w:shd w:val="clear" w:color="auto" w:fill="auto"/>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轮廓标</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shd w:val="clear" w:color="auto" w:fill="auto"/>
            <w:tcW w:w="50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W w:w="692"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tcW w:w="1974"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26"/>
        </w:trPr>
        <w:tc>
          <w:tcPr>
            <w:tcW w:w="879" w:type="dxa"/>
            <w:vAlign w:val="center"/>
            <w:textDirection w:val="lrTb"/>
            <w:noWrap w:val="false"/>
          </w:tcPr>
          <w:p>
            <w:pPr>
              <w:jc w:val="center"/>
              <w:spacing w:line="340" w:lineRule="exact"/>
              <w:tabs>
                <w:tab w:val="left" w:pos="420" w:leader="none"/>
              </w:tabs>
              <w:rPr>
                <w:rFonts w:hint="eastAsia" w:eastAsia="宋体"/>
                <w:b/>
                <w:bCs/>
                <w:color w:val="000000" w:themeColor="text1"/>
                <w:sz w:val="21"/>
                <w:szCs w:val="21"/>
                <w:highlight w:val="none"/>
                <w:lang w:eastAsia="zh-CN"/>
                <w14:textFill>
                  <w14:solidFill>
                    <w14:schemeClr w14:val="tx1"/>
                  </w14:solidFill>
                </w14:textFill>
              </w:rPr>
            </w:pPr>
            <w:r>
              <w:rPr>
                <w:rFonts w:hint="eastAsia" w:eastAsia="宋体"/>
                <w:b/>
                <w:bCs/>
                <w:color w:val="000000" w:themeColor="text1"/>
                <w:sz w:val="21"/>
                <w:szCs w:val="21"/>
                <w:highlight w:val="none"/>
                <w:lang w:eastAsia="zh-CN"/>
                <w14:textFill>
                  <w14:solidFill>
                    <w14:schemeClr w14:val="tx1"/>
                  </w14:solidFill>
                </w14:textFill>
              </w:rPr>
            </w:r>
            <w:r/>
          </w:p>
        </w:tc>
        <w:tc>
          <w:tcPr>
            <w:tcW w:w="4077" w:type="dxa"/>
            <w:vAlign w:val="center"/>
            <w:textDirection w:val="lrTb"/>
            <w:noWrap w:val="false"/>
          </w:tcPr>
          <w:p>
            <w:pPr>
              <w:rPr>
                <w:rFonts w:hint="default" w:eastAsia="宋体"/>
                <w:b/>
                <w:bCs/>
                <w:color w:val="000000" w:themeColor="text1"/>
                <w:sz w:val="21"/>
                <w:szCs w:val="21"/>
                <w:highlight w:val="none"/>
                <w:lang w:val="en-US" w:eastAsia="zh-CN"/>
                <w14:textFill>
                  <w14:solidFill>
                    <w14:schemeClr w14:val="tx1"/>
                  </w14:solidFill>
                </w14:textFill>
              </w:rPr>
            </w:pPr>
            <w:r>
              <w:rPr>
                <w:rFonts w:hint="eastAsia" w:cs="Tahoma"/>
                <w:b w:val="0"/>
                <w:bCs w:val="0"/>
                <w:color w:val="000000" w:themeColor="text1"/>
                <w:sz w:val="21"/>
                <w:szCs w:val="21"/>
                <w:highlight w:val="none"/>
                <w:lang w:val="en-US" w:eastAsia="zh-CN"/>
                <w14:textFill>
                  <w14:solidFill>
                    <w14:schemeClr w14:val="tx1"/>
                  </w14:solidFill>
                </w14:textFill>
              </w:rPr>
              <w:t xml:space="preserve">小计（1）</w:t>
            </w:r>
            <w:r/>
          </w:p>
        </w:tc>
        <w:tc>
          <w:tcPr>
            <w:tcW w:w="2427"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03" w:type="dxa"/>
            <w:vAlign w:val="center"/>
            <w:textDirection w:val="lrTb"/>
            <w:noWrap w:val="false"/>
          </w:tcPr>
          <w:p>
            <w:pPr>
              <w:ind w:right="-105"/>
              <w:jc w:val="center"/>
              <w:spacing w:line="3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92"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974"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bCs/>
                <w:color w:val="000000" w:themeColor="text1"/>
                <w:sz w:val="21"/>
                <w:szCs w:val="21"/>
                <w:highlight w:val="none"/>
                <w:lang w:val="en-US" w:eastAsia="zh-CN"/>
                <w14:textFill>
                  <w14:solidFill>
                    <w14:schemeClr w14:val="tx1"/>
                  </w14:solidFill>
                </w14:textFill>
              </w:rPr>
              <w:t xml:space="preserve">二</w:t>
            </w:r>
            <w:r/>
          </w:p>
        </w:tc>
        <w:tc>
          <w:tcPr>
            <w:gridSpan w:val="5"/>
            <w:tcW w:w="9673"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eastAsia"/>
                <w:b/>
                <w:bCs/>
                <w:color w:val="000000" w:themeColor="text1"/>
                <w:sz w:val="21"/>
                <w:szCs w:val="21"/>
                <w:highlight w:val="none"/>
                <w:lang w:val="en-US" w:eastAsia="zh-CN"/>
                <w14:textFill>
                  <w14:solidFill>
                    <w14:schemeClr w14:val="tx1"/>
                  </w14:solidFill>
                </w14:textFill>
              </w:rPr>
              <w:t xml:space="preserve"> 新建信号灯与监控系统工程数量表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6m机动车信号灯杆件及基础（开挖、回填、碎石、C30砼、钢筋、模板、杆件、基础笼等）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基础</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6m机动车信号灯基础（开挖、回填、碎石、C30砼、钢筋、模板、杆件、基础笼等），杆件利用原有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8m机动车信号灯杆件及基础（开挖、回填、碎石、C30砼、钢筋、模板、杆件、基础笼等）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2.4</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10m机动车信号灯杆件及基础（开挖、回填、碎石、C30砼、钢筋、模板、杆件、基础笼等）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2.5</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左转灯组</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2.6</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满屏灯组</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2.7</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倒计时器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600*800型通讯式信号倒计时器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2.8</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人行信号灯组</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2.9</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人行信号灯杆件及基础（开挖、回填、碎石、C30砼、钢筋、模板、杆件、基础笼等）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2.10</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设备控制机箱</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交通信号控制机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2.11</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手持式遥控器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手持式遥控器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2.12</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6m电子警察杆件及基础（开挖、回填、碎石、C30砼、钢筋、模板、杆件、基础笼等）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2.13</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8m电子警察杆件及基础（开挖、回填、碎石、C30砼、钢筋、模板、杆件、基础笼等）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2.14</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信号灯控制电缆及敷设(m)</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RVV-12×1.0mm2,按实计量</w:t>
            </w:r>
            <w:r/>
          </w:p>
          <w:p>
            <w:pPr>
              <w:jc w:val="both"/>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800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2.15</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信号灯灯头电缆及敷设(m)</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RVV-4×1.0mm2,按实计量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2.16</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RVV-2×16mm2,按实计量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2.17</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含1根φ75PE管,按实计量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2.18</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顶管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顶管施工(含过路4根φ75PE管)(m)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440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2.19</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开挖施工(含2根φ75PE管)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开挖施工(含2根φ75PE管)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管沟深度地面道路管道埋设图</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根据现场自行勘察，自行考虑;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420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2.20</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原状恢复绿化土</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原状恢复绿化土</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细砂</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根据现场自行勘察，自行考虑；</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629</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2.21</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人行道恢复</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人行道恢复</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6cm人行道砖</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3cm砂浆</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C20无砂大孔砼 </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级配碎石 </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绿化土回填</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细砂</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74</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2.22</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非机动车道恢复</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非机动车道恢复</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5cm 细粒式沥青砼</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30cmC25水泥混凝土</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15cm碎石垫层</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绿化土回填</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细砂</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37</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2.23</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监控摄像设备</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高清智能监控球机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2.24</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监控摄像设备</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900万电警抓拍单元(核心产品)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2.25</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监控摄像设备</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900万高清生态环保卡口抓拍单元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2.26</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LED频闪补光灯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2.27</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多合一补光灯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2.28</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杆件抱杆箱</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杆件抱杆箱</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2.29</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交换机</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工业级5口千兆交换机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2.30</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交换机</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工业级8口千兆交换机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2.31</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收发器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工业级千兆光纤收发器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2.32</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窨井</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窨井（井深暂按1350）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开挖、回填、C30混凝土基础、M10砂浆砌MU10机制砖、C30混凝土现浇、M10防水水泥砂浆抹面、铸铁井盖、模板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座</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2.33</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存储卡TF卡(个)</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存储卡TF卡(个)</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≥64G</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2.34</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室外型网络线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超5类防水网络线(m)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2.35</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RVV-3×1.0mm2,按实计量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2.36</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RVVP 5*1.0mm2,按实计量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2.37</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8芯室外光缆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8芯单模铠装室外光缆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600</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2.38</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网络连接及数据传输(二年)</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网络连接及数据传输(二年)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2.39</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路口数据、信号等接入交警部门机房各类</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平台技术服务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路口数据、信号等接入交警部门机房各类</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平台技术服务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2.40</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16路硬盘录像机(含4块6T硬盘)</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16路硬盘录像机(含4块6T硬盘)</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所租用专线带宽须满足道口传输</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需要及视频流访问需要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2.41</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网络服务器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应用管理服务器(台)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2.42</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企业级硬盘10T</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企业级硬盘10T(块)</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2.43</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“前方监控、交通违法”标志牌</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含配套固定抱箍、安装螺栓及螺帽等)-附着式安装,按交警部门要求规格定制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2.44</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“交通违法监控”标志牌</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含配套固定抱箍、安装螺栓及螺帽等)-附着式安装,按交警部门要求规格定制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2.45</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标志牌迁移</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标志牌迁移</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标志牌迁移按标志支架规格固定，其他工程接线端子排、漏电保护器无规定材质</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根据现场自行勘察，自行考虑;具体做法详见图纸设计及采购需求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处</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2.46</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完成本项目的其他工程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(包括接线端子排、漏电保护器等)</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完成本项目的其他工程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(包括接线端子排、漏电保护器等)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根据现场自行勘察，自行考虑;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2.47</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标线施画、补施(m2)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tcW w:w="692" w:type="dxa"/>
            <w:vAlign w:val="center"/>
            <w:textDirection w:val="lrTb"/>
            <w:noWrap w:val="false"/>
          </w:tcPr>
          <w:p>
            <w:pPr>
              <w:jc w:val="center"/>
              <w:keepLines w:val="0"/>
              <w:keepNext w:val="0"/>
              <w:widowControl/>
              <w:rPr>
                <w:rFonts w:hint="eastAsi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400</w:t>
            </w:r>
            <w:r/>
          </w:p>
        </w:tc>
        <w:tc>
          <w:tcPr>
            <w:tcW w:w="1974" w:type="dxa"/>
            <w:vAlign w:val="center"/>
            <w:textDirection w:val="lrTb"/>
            <w:noWrap w:val="false"/>
          </w:tcPr>
          <w:p>
            <w:pPr>
              <w:jc w:val="both"/>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default" w:ascii="宋体" w:hAnsi="宋体"/>
                <w:b w:val="0"/>
                <w:bCs w:val="0"/>
                <w:color w:val="000000" w:themeColor="text1"/>
                <w:sz w:val="21"/>
                <w:szCs w:val="21"/>
                <w:highlight w:val="none"/>
                <w:lang w:val="en-US" w:eastAsia="zh-CN"/>
                <w14:textFill>
                  <w14:solidFill>
                    <w14:schemeClr w14:val="tx1"/>
                  </w14:solidFill>
                </w14:textFill>
              </w:rPr>
            </w:r>
            <w:r/>
          </w:p>
        </w:tc>
        <w:tc>
          <w:tcPr>
            <w:tcW w:w="4077" w:type="dxa"/>
            <w:vAlign w:val="center"/>
            <w:textDirection w:val="lrTb"/>
            <w:noWrap w:val="false"/>
          </w:tcPr>
          <w:p>
            <w:pPr>
              <w:rPr>
                <w:rFonts w:hint="default"/>
                <w:b/>
                <w:bCs/>
                <w:color w:val="000000" w:themeColor="text1"/>
                <w:sz w:val="21"/>
                <w:szCs w:val="21"/>
                <w:highlight w:val="none"/>
                <w:lang w:val="en-US"/>
                <w14:textFill>
                  <w14:solidFill>
                    <w14:schemeClr w14:val="tx1"/>
                  </w14:solidFill>
                </w14:textFill>
              </w:rPr>
            </w:pPr>
            <w:r>
              <w:rPr>
                <w:rFonts w:hint="eastAsia" w:cs="Tahoma"/>
                <w:b w:val="0"/>
                <w:bCs w:val="0"/>
                <w:color w:val="000000" w:themeColor="text1"/>
                <w:sz w:val="21"/>
                <w:szCs w:val="21"/>
                <w:highlight w:val="none"/>
                <w:lang w:val="en-US" w:eastAsia="zh-CN"/>
                <w14:textFill>
                  <w14:solidFill>
                    <w14:schemeClr w14:val="tx1"/>
                  </w14:solidFill>
                </w14:textFill>
              </w:rPr>
              <w:t xml:space="preserve">小计（2）</w:t>
            </w:r>
            <w:r/>
          </w:p>
        </w:tc>
        <w:tc>
          <w:tcPr>
            <w:tcW w:w="2427"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03" w:type="dxa"/>
            <w:vAlign w:val="center"/>
            <w:textDirection w:val="lrTb"/>
            <w:noWrap w:val="false"/>
          </w:tcPr>
          <w:p>
            <w:pPr>
              <w:ind w:right="-105"/>
              <w:jc w:val="center"/>
              <w:spacing w:line="3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92"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974"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3</w:t>
            </w:r>
            <w:r/>
          </w:p>
        </w:tc>
        <w:tc>
          <w:tcPr>
            <w:gridSpan w:val="5"/>
            <w:tcW w:w="9673" w:type="dxa"/>
            <w:vAlign w:val="center"/>
            <w:textDirection w:val="lrTb"/>
            <w:noWrap w:val="false"/>
          </w:tcPr>
          <w:p>
            <w:pPr>
              <w:jc w:val="left"/>
              <w:rPr>
                <w:rFonts w:hint="eastAsia"/>
                <w:b w:val="0"/>
                <w:bCs w:val="0"/>
                <w:color w:val="000000" w:themeColor="text1"/>
                <w:sz w:val="21"/>
                <w:szCs w:val="21"/>
                <w:highlight w:val="none"/>
                <w14:textFill>
                  <w14:solidFill>
                    <w14:schemeClr w14:val="tx1"/>
                  </w14:solidFill>
                </w14:textFill>
              </w:rPr>
            </w:pPr>
            <w:r>
              <w:rPr>
                <w:rFonts w:hint="eastAsia" w:cs="Tahoma"/>
                <w:b/>
                <w:bCs/>
                <w:color w:val="000000" w:themeColor="text1"/>
                <w:sz w:val="21"/>
                <w:szCs w:val="21"/>
                <w:highlight w:val="none"/>
                <w:lang w:val="en-US" w:eastAsia="zh-CN"/>
                <w14:textFill>
                  <w14:solidFill>
                    <w14:schemeClr w14:val="tx1"/>
                  </w14:solidFill>
                </w14:textFill>
              </w:rPr>
              <w:t xml:space="preserve"> 单点自适应系统</w:t>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3.1</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广域雷达微波检测器、安装配件包</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采用广域雷达跟踪和高清视频融合技术,一体化设计,可跟踪256个目标,检测目标的即时位置、即时速度、目标分类、实时排队长度、实时区域状态、多断面的交通流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、异常事件等高精度检测及视频可视化;视频像素500万,检测范围:8车道、350米远;同时支持正向或者侧向安装。</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不锈钢支架,抱箍及稳压电源</w:t>
            </w:r>
            <w:r/>
          </w:p>
          <w:p>
            <w:pPr>
              <w:jc w:val="both"/>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包含抱杆箱、交换机、电缆、网线、光纤、管材等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各类设备的基础固定安装、通电通网、基本调试,以及相关安全保障,包括人工、材料、机具等综合费用</w:t>
            </w:r>
            <w:r/>
          </w:p>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36"/>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3.2</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雷达数据处理器</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雷达数据处理器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实现最多四台微波检测器和信号机的连接,支持一路RJ45网络输入,一路RS485输出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r>
            <w:r/>
          </w:p>
        </w:tc>
        <w:tc>
          <w:tcPr>
            <w:tcW w:w="4077" w:type="dxa"/>
            <w:vAlign w:val="center"/>
            <w:textDirection w:val="lrTb"/>
            <w:noWrap w:val="false"/>
          </w:tcPr>
          <w:p>
            <w:pPr>
              <w:rPr>
                <w:rFonts w:hint="default" w:cs="Tahoma"/>
                <w:b w:val="0"/>
                <w:bCs w:val="0"/>
                <w:color w:val="000000" w:themeColor="text1"/>
                <w:sz w:val="21"/>
                <w:szCs w:val="21"/>
                <w:highlight w:val="none"/>
                <w:lang w:val="en-US" w:eastAsia="zh-CN"/>
                <w14:textFill>
                  <w14:solidFill>
                    <w14:schemeClr w14:val="tx1"/>
                  </w14:solidFill>
                </w14:textFill>
              </w:rPr>
            </w:pPr>
            <w:r>
              <w:rPr>
                <w:rFonts w:hint="eastAsia" w:cs="Tahoma"/>
                <w:b w:val="0"/>
                <w:bCs w:val="0"/>
                <w:color w:val="000000" w:themeColor="text1"/>
                <w:sz w:val="21"/>
                <w:szCs w:val="21"/>
                <w:highlight w:val="none"/>
                <w:lang w:val="en-US" w:eastAsia="zh-CN"/>
                <w14:textFill>
                  <w14:solidFill>
                    <w14:schemeClr w14:val="tx1"/>
                  </w14:solidFill>
                </w14:textFill>
              </w:rPr>
              <w:t xml:space="preserve">小计（3）</w:t>
            </w:r>
            <w:r/>
          </w:p>
        </w:tc>
        <w:tc>
          <w:tcPr>
            <w:tcW w:w="2427" w:type="dxa"/>
            <w:vAlign w:val="center"/>
            <w:textDirection w:val="lrTb"/>
            <w:noWrap w:val="false"/>
          </w:tcPr>
          <w:p>
            <w:pPr>
              <w:jc w:val="center"/>
              <w:rPr>
                <w:rFonts w:hint="eastAsia" w:cs="Tahoma"/>
                <w:color w:val="000000" w:themeColor="text1"/>
                <w:sz w:val="21"/>
                <w:szCs w:val="21"/>
                <w:highlight w:val="none"/>
                <w14:textFill>
                  <w14:solidFill>
                    <w14:schemeClr w14:val="tx1"/>
                  </w14:solidFill>
                </w14:textFill>
              </w:rPr>
            </w:pPr>
            <w:r>
              <w:rPr>
                <w:rFonts w:hint="eastAsia" w:cs="Tahoma"/>
                <w:color w:val="000000" w:themeColor="text1"/>
                <w:sz w:val="21"/>
                <w:szCs w:val="21"/>
                <w:highlight w:val="none"/>
                <w14:textFill>
                  <w14:solidFill>
                    <w14:schemeClr w14:val="tx1"/>
                  </w14:solidFill>
                </w14:textFill>
              </w:rPr>
            </w:r>
            <w:r/>
          </w:p>
        </w:tc>
        <w:tc>
          <w:tcPr>
            <w:tcW w:w="503" w:type="dxa"/>
            <w:vAlign w:val="center"/>
            <w:textDirection w:val="lrTb"/>
            <w:noWrap w:val="false"/>
          </w:tcPr>
          <w:p>
            <w:pPr>
              <w:ind w:right="-105"/>
              <w:jc w:val="center"/>
              <w:spacing w:line="340" w:lineRule="exact"/>
              <w:rPr>
                <w:rFonts w:hint="eastAsia"/>
                <w:b w:val="0"/>
                <w:bCs w:val="0"/>
                <w:color w:val="000000" w:themeColor="text1"/>
                <w:sz w:val="21"/>
                <w:szCs w:val="21"/>
                <w:highlight w:val="none"/>
                <w:lang w:val="en-US" w:eastAsia="zh-CN"/>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r>
            <w:r/>
          </w:p>
        </w:tc>
        <w:tc>
          <w:tcPr>
            <w:tcW w:w="692" w:type="dxa"/>
            <w:vAlign w:val="center"/>
            <w:textDirection w:val="lrTb"/>
            <w:noWrap w:val="false"/>
          </w:tcPr>
          <w:p>
            <w:pPr>
              <w:jc w:val="center"/>
              <w:rPr>
                <w:rFonts w:hint="eastAsia"/>
                <w:b w:val="0"/>
                <w:bCs w:val="0"/>
                <w:color w:val="000000" w:themeColor="text1"/>
                <w:sz w:val="21"/>
                <w:szCs w:val="21"/>
                <w:highlight w:val="none"/>
                <w:lang w:val="en-US" w:eastAsia="zh-CN"/>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w:t>
            </w:r>
            <w:r/>
          </w:p>
        </w:tc>
        <w:tc>
          <w:tcPr>
            <w:gridSpan w:val="5"/>
            <w:tcW w:w="9673" w:type="dxa"/>
            <w:vAlign w:val="center"/>
            <w:textDirection w:val="lrTb"/>
            <w:noWrap w:val="false"/>
          </w:tcPr>
          <w:p>
            <w:pPr>
              <w:jc w:val="left"/>
              <w:rPr>
                <w:rFonts w:hint="default"/>
                <w:b/>
                <w:bCs/>
                <w:color w:val="000000" w:themeColor="text1"/>
                <w:sz w:val="21"/>
                <w:szCs w:val="21"/>
                <w:highlight w:val="none"/>
                <w:lang w:val="en-US"/>
                <w14:textFill>
                  <w14:solidFill>
                    <w14:schemeClr w14:val="tx1"/>
                  </w14:solidFill>
                </w14:textFill>
              </w:rPr>
            </w:pPr>
            <w:r>
              <w:rPr>
                <w:rFonts w:hint="eastAsia" w:cs="Tahoma"/>
                <w:b/>
                <w:bCs/>
                <w:color w:val="000000" w:themeColor="text1"/>
                <w:sz w:val="21"/>
                <w:szCs w:val="21"/>
                <w:highlight w:val="none"/>
                <w:lang w:val="en-US" w:eastAsia="zh-CN"/>
                <w14:textFill>
                  <w14:solidFill>
                    <w14:schemeClr w14:val="tx1"/>
                  </w14:solidFill>
                </w14:textFill>
              </w:rPr>
              <w:t xml:space="preserve"> 行人过街系统工程数量表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交通信号控制机</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交通信号控制机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北兴路金荷路路口和园林路长乐路路口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监控摄像设备</w:t>
            </w:r>
            <w:r/>
          </w:p>
        </w:tc>
        <w:tc>
          <w:tcPr>
            <w:tcW w:w="2427" w:type="dxa"/>
            <w:vAlign w:val="center"/>
            <w:textDirection w:val="lrTb"/>
            <w:noWrap w:val="false"/>
          </w:tcPr>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900万高清抓拍单元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北兴路金荷路路口东西向2处计2台(电警);2、园林路长乐路路口南北方向2处计2台(电警);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w:t>
            </w:r>
            <w:r/>
          </w:p>
        </w:tc>
        <w:tc>
          <w:tcPr>
            <w:tcW w:w="2427" w:type="dxa"/>
            <w:vAlign w:val="center"/>
            <w:textDirection w:val="lrTb"/>
            <w:noWrap w:val="false"/>
          </w:tcPr>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LED暖光灯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北兴路金荷路路口东西向2个车道计2台;2、园林路长乐路路口南北方向4个车道计4台;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4.4</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红绿灯信号检测器</w:t>
            </w:r>
            <w:r/>
          </w:p>
        </w:tc>
        <w:tc>
          <w:tcPr>
            <w:tcW w:w="2427" w:type="dxa"/>
            <w:vAlign w:val="center"/>
            <w:textDirection w:val="lrTb"/>
            <w:noWrap w:val="false"/>
          </w:tcPr>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红绿灯信号检测器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北兴路金荷路路口计1台;2、园林路长乐路路口计1台;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4.5</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4路智能终端管理盒</w:t>
            </w:r>
            <w:r/>
          </w:p>
        </w:tc>
        <w:tc>
          <w:tcPr>
            <w:tcW w:w="2427" w:type="dxa"/>
            <w:vAlign w:val="center"/>
            <w:textDirection w:val="lrTb"/>
            <w:noWrap w:val="false"/>
          </w:tcPr>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4路智能终端管理盒</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北兴路金荷路路口计1台;2、园林路长乐路路口计1台;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4.6</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立柱式一体化行人过街系统</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3.5米一体式,灯具排布为静止红色、动态绿、倒计时三联、带触摸式按钮定制及基础（开挖、回填、C30砼、模板、杆件、灯具、按钮、基础笼等）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北兴路金荷路路口计2套;2、园林路长乐路路口计2套;基础尺寸S-03</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4.7</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一体化机动车信号灯系统</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5.2米一体式,灯具排布为红圆盘、黄圆盘、绿圆盘、倒计时四联;及基础（开挖、回填、C30砼、模板、杆件、灯具、按钮、基础笼等）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北兴路金荷路路口计2套;2、园林路长乐路路口计2套;基础尺寸S-03</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4.8</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L型悬臂式监控杆件(八角锥形杆、热镀锌喷塑白色)及基础（开挖、回填、碎石、C30砼、钢筋、模板、杆件、基础笼等）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H6.5ML9M-1套;</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4.9</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L型悬臂式监控杆件(八角锥形杆、热镀锌喷塑白色)及基础（开挖、回填、碎石、C30砼、钢筋、模板、杆件、基础笼等）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H6.5ML6M-1套</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4.10</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不锈钢抱杆箱(内含多孔位插座等)</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不锈钢抱杆箱(内含多孔位插座等)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规格:500*400*180*1.0MM;内含漏电保护器一只、多孔位插排一只;</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4.11</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5口千兆交换机</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5口千兆交换机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5口千兆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4.12</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单模双纤收发器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单模双纤收发器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对</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4.13</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基础</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信号控制机柜基础制作浇筑（开挖、回填、碎石、C30砼、钢筋、模板、杆件、基础笼等）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4.14</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系统供接电施工(含系统用电所必需的用电开户手续、控制开关、插座等)</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系统供接电施工(含系统用电所必需的用电开户手续、线路、管路、控制开关、插座等)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4.15</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顶管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顶管施工(涉及信号及电警的过路顶管作业)</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¢40硅芯管1根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4.16</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附属管道开挖及回填(电警及信号部分)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含¢40硅芯管1根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开挖、回填、¢40硅芯管1根</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根据现场自行勘察，自行考虑;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4.17</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窨井</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窨井（井深暂按1350）</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开挖、回填、C30混凝土基础、M10砂浆砌MU10机制砖、C30混凝土现浇、M10防水水泥砂浆抹面、铸铁井盖、模板</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座</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4.18</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信号线缆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RVV8*1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480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4.19</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控制电缆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RVVP2*1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4.20</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国标RVV2x1.5mm2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4.21</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补光灯控制线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RVV5*1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4.22</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超5类防水网络线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超5类防水网络线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4.23</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室外单模8芯铠装光缆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室外单模8芯铠装光缆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4.24</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数据网络传输专线租用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数据网络传输专线租用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向第三方运营商租用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含2年专线租用费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4.25</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室外防雨落地式接电开关配电柜</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(含基础)</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室外防雨落地式接电开关配电柜(含基础)</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不锈钢或镀锌冷压板加工制作、规格不低于</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1200*600*350,厚度不低于1.0,</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信号控制机柜基础制作浇筑（开挖、回填、碎石、C30砼、钢筋、模板、杆件、基础笼等）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4.26</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窨井(机柜处设置)</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窨井（井深暂按1350）</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开挖、回填、C30混凝土基础、M10砂浆砌MU10机制砖、C30混凝土现浇、M10防水水泥砂浆抹面、铸铁井盖、模板</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座</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4.27</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自动重合闸漏电保护器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自动重合闸漏电保护器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数字式带防雷100A2P</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4.28</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电力电缆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供接电线缆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规格不低于YJV2*6</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4.29</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硅芯管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不低于HDPE40*3.0一根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4.30</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开挖沟槽</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管沟深度地面道路管道埋设图</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根据现场自行勘察，自行考虑;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shd w:val="clear" w:color="auto" w:fill="auto"/>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4.31</w:t>
            </w:r>
            <w:r/>
          </w:p>
        </w:tc>
        <w:tc>
          <w:tcPr>
            <w:shd w:val="clear" w:color="auto" w:fill="auto"/>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原状恢复绿化土</w:t>
            </w:r>
            <w:r/>
          </w:p>
        </w:tc>
        <w:tc>
          <w:tcPr>
            <w:shd w:val="clear" w:color="auto" w:fill="auto"/>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原状恢复绿化土</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细砂</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回填参照管沟深度地面道路管道埋设图</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根据现场自行勘察，自行考虑；</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shd w:val="clear" w:color="auto" w:fill="auto"/>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100</w:t>
            </w:r>
            <w:r/>
          </w:p>
        </w:tc>
        <w:tc>
          <w:tcPr>
            <w:shd w:val="clear" w:color="auto" w:fill="auto"/>
            <w:tcW w:w="1974" w:type="dxa"/>
            <w:vAlign w:val="center"/>
            <w:textDirection w:val="lrTb"/>
            <w:noWrap w:val="false"/>
          </w:tcPr>
          <w:p>
            <w:pPr>
              <w:jc w:val="center"/>
              <w:rPr>
                <w:rFonts w:hint="default" w:ascii="Arial" w:hAnsi="Arial" w:eastAsia="宋体" w:cs="Arial"/>
                <w:b w:val="0"/>
                <w:bCs w:val="0"/>
                <w:color w:val="000000" w:themeColor="text1"/>
                <w:sz w:val="21"/>
                <w:szCs w:val="21"/>
                <w:highlight w:val="none"/>
                <w:lang w:val="en-US" w:eastAsia="zh-CN" w:bidi="ar-SA"/>
                <w14:textFill>
                  <w14:solidFill>
                    <w14:schemeClr w14:val="tx1"/>
                  </w14:solidFill>
                </w14:textFill>
              </w:rPr>
            </w:pPr>
            <w:r>
              <w:rPr>
                <w:rFonts w:hint="default" w:ascii="Arial" w:hAnsi="Arial" w:eastAsia="宋体" w:cs="Arial"/>
                <w:b w:val="0"/>
                <w:bCs w:val="0"/>
                <w:color w:val="000000" w:themeColor="text1"/>
                <w:sz w:val="21"/>
                <w:szCs w:val="21"/>
                <w:highlight w:val="none"/>
                <w:lang w:val="en-US" w:eastAsia="zh-CN" w:bidi="ar-SA"/>
                <w14:textFill>
                  <w14:solidFill>
                    <w14:schemeClr w14:val="tx1"/>
                  </w14:solidFill>
                </w14:textFill>
              </w:rPr>
            </w:r>
            <w:r/>
          </w:p>
        </w:tc>
      </w:tr>
      <w:tr>
        <w:trPr>
          <w:trHeight w:val="90"/>
        </w:trPr>
        <w:tc>
          <w:tcPr>
            <w:shd w:val="clear" w:color="auto" w:fill="auto"/>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4.32</w:t>
            </w:r>
            <w:r/>
          </w:p>
        </w:tc>
        <w:tc>
          <w:tcPr>
            <w:shd w:val="clear" w:color="auto" w:fill="auto"/>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水泥路面恢复</w:t>
            </w:r>
            <w:r/>
          </w:p>
        </w:tc>
        <w:tc>
          <w:tcPr>
            <w:shd w:val="clear" w:color="auto" w:fill="auto"/>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水泥路面内埋设管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35cmC25水泥混凝土</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15cm碎石垫层</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绿化土回填</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细砂</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shd w:val="clear" w:color="auto" w:fill="auto"/>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100</w:t>
            </w:r>
            <w:r/>
          </w:p>
        </w:tc>
        <w:tc>
          <w:tcPr>
            <w:shd w:val="clear" w:color="auto" w:fill="auto"/>
            <w:tcW w:w="1974" w:type="dxa"/>
            <w:vAlign w:val="center"/>
            <w:textDirection w:val="lrTb"/>
            <w:noWrap w:val="false"/>
          </w:tcPr>
          <w:p>
            <w:pPr>
              <w:jc w:val="center"/>
              <w:rPr>
                <w:rFonts w:hint="default" w:ascii="Arial" w:hAnsi="Arial" w:eastAsia="宋体" w:cs="Arial"/>
                <w:b w:val="0"/>
                <w:bCs w:val="0"/>
                <w:color w:val="000000" w:themeColor="text1"/>
                <w:sz w:val="21"/>
                <w:szCs w:val="21"/>
                <w:highlight w:val="none"/>
                <w:lang w:val="en-US" w:eastAsia="zh-CN" w:bidi="ar-SA"/>
                <w14:textFill>
                  <w14:solidFill>
                    <w14:schemeClr w14:val="tx1"/>
                  </w14:solidFill>
                </w14:textFill>
              </w:rPr>
            </w:pPr>
            <w:r>
              <w:rPr>
                <w:rFonts w:hint="default" w:ascii="Arial" w:hAnsi="Arial" w:eastAsia="宋体" w:cs="Arial"/>
                <w:b w:val="0"/>
                <w:bCs w:val="0"/>
                <w:color w:val="000000" w:themeColor="text1"/>
                <w:sz w:val="21"/>
                <w:szCs w:val="21"/>
                <w:highlight w:val="none"/>
                <w:lang w:val="en-US" w:eastAsia="zh-CN" w:bidi="ar-SA"/>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4.33</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PVC地埋线缆警示桩</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PVC地埋线缆警示桩</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4.34</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斑马线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0.4*5*55道</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东西向各12道、南向8道、北向23道</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4.35</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停车线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0.4*21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东、西、北向各6M、南3M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8.4</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4.36</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道路中间黄实线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0.15*30*4</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停车线后30M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4.37</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边道实线(白)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0.15*30*4*2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4.38</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标记</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车道导向箭头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每方向进出各2个,共4个,具体做法详见图纸设计及采购需求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4.39</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停车线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0.3*4*2道</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东西方向非机动车道缺失增补</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532"/>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r>
            <w:r/>
          </w:p>
        </w:tc>
        <w:tc>
          <w:tcPr>
            <w:tcW w:w="4077" w:type="dxa"/>
            <w:vAlign w:val="center"/>
            <w:textDirection w:val="lrTb"/>
            <w:noWrap w:val="false"/>
          </w:tcPr>
          <w:p>
            <w:pPr>
              <w:rPr>
                <w:rFonts w:hint="default" w:cs="Tahoma"/>
                <w:b w:val="0"/>
                <w:bCs w:val="0"/>
                <w:color w:val="000000" w:themeColor="text1"/>
                <w:sz w:val="21"/>
                <w:szCs w:val="21"/>
                <w:highlight w:val="none"/>
                <w:lang w:val="en-US" w:eastAsia="zh-CN"/>
                <w14:textFill>
                  <w14:solidFill>
                    <w14:schemeClr w14:val="tx1"/>
                  </w14:solidFill>
                </w14:textFill>
              </w:rPr>
            </w:pPr>
            <w:r>
              <w:rPr>
                <w:rFonts w:hint="eastAsia" w:cs="Tahoma"/>
                <w:b w:val="0"/>
                <w:bCs w:val="0"/>
                <w:color w:val="000000" w:themeColor="text1"/>
                <w:sz w:val="21"/>
                <w:szCs w:val="21"/>
                <w:highlight w:val="none"/>
                <w:lang w:val="en-US" w:eastAsia="zh-CN"/>
                <w14:textFill>
                  <w14:solidFill>
                    <w14:schemeClr w14:val="tx1"/>
                  </w14:solidFill>
                </w14:textFill>
              </w:rPr>
              <w:t xml:space="preserve">小计（4)</w:t>
            </w:r>
            <w:r/>
          </w:p>
        </w:tc>
        <w:tc>
          <w:tcPr>
            <w:tcW w:w="2427" w:type="dxa"/>
            <w:vAlign w:val="center"/>
            <w:textDirection w:val="lrTb"/>
            <w:noWrap w:val="false"/>
          </w:tcPr>
          <w:p>
            <w:pPr>
              <w:jc w:val="center"/>
              <w:rPr>
                <w:rFonts w:hint="eastAsia" w:cs="Tahoma"/>
                <w:color w:val="000000" w:themeColor="text1"/>
                <w:sz w:val="21"/>
                <w:szCs w:val="21"/>
                <w:highlight w:val="none"/>
                <w14:textFill>
                  <w14:solidFill>
                    <w14:schemeClr w14:val="tx1"/>
                  </w14:solidFill>
                </w14:textFill>
              </w:rPr>
            </w:pPr>
            <w:r>
              <w:rPr>
                <w:rFonts w:hint="eastAsia" w:cs="Tahoma"/>
                <w:color w:val="000000" w:themeColor="text1"/>
                <w:sz w:val="21"/>
                <w:szCs w:val="21"/>
                <w:highlight w:val="none"/>
                <w14:textFill>
                  <w14:solidFill>
                    <w14:schemeClr w14:val="tx1"/>
                  </w14:solidFill>
                </w14:textFill>
              </w:rPr>
            </w:r>
            <w:r/>
          </w:p>
        </w:tc>
        <w:tc>
          <w:tcPr>
            <w:tcW w:w="503" w:type="dxa"/>
            <w:vAlign w:val="center"/>
            <w:textDirection w:val="lrTb"/>
            <w:noWrap w:val="false"/>
          </w:tcPr>
          <w:p>
            <w:pPr>
              <w:ind w:right="-105"/>
              <w:jc w:val="center"/>
              <w:spacing w:line="340" w:lineRule="exact"/>
              <w:rPr>
                <w:rFonts w:hint="eastAsia"/>
                <w:b w:val="0"/>
                <w:bCs w:val="0"/>
                <w:color w:val="000000" w:themeColor="text1"/>
                <w:sz w:val="21"/>
                <w:szCs w:val="21"/>
                <w:highlight w:val="none"/>
                <w:lang w:val="en-US" w:eastAsia="zh-CN"/>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r>
            <w:r/>
          </w:p>
        </w:tc>
        <w:tc>
          <w:tcPr>
            <w:tcW w:w="692" w:type="dxa"/>
            <w:vAlign w:val="center"/>
            <w:textDirection w:val="lrTb"/>
            <w:noWrap w:val="false"/>
          </w:tcPr>
          <w:p>
            <w:pPr>
              <w:jc w:val="center"/>
              <w:rPr>
                <w:rFonts w:hint="eastAsia"/>
                <w:b w:val="0"/>
                <w:bCs w:val="0"/>
                <w:color w:val="000000" w:themeColor="text1"/>
                <w:sz w:val="21"/>
                <w:szCs w:val="21"/>
                <w:highlight w:val="none"/>
                <w:lang w:val="en-US" w:eastAsia="zh-CN"/>
                <w14:textFill>
                  <w14:solidFill>
                    <w14:schemeClr w14:val="tx1"/>
                  </w14:solidFill>
                </w14:textFill>
              </w:rPr>
            </w:pPr>
            <w:r>
              <w:rPr>
                <w:rFonts w:hint="eastAsia"/>
                <w:b w:val="0"/>
                <w:bCs w:val="0"/>
                <w:color w:val="000000" w:themeColor="text1"/>
                <w:sz w:val="21"/>
                <w:szCs w:val="21"/>
                <w:highlight w:val="none"/>
                <w:lang w:val="en-US" w:eastAsia="zh-CN"/>
                <w14:textFill>
                  <w14:solidFill>
                    <w14:schemeClr w14:val="tx1"/>
                  </w14:solidFill>
                </w14:textFill>
              </w:rPr>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五</w:t>
            </w:r>
            <w:r/>
          </w:p>
        </w:tc>
        <w:tc>
          <w:tcPr>
            <w:gridSpan w:val="5"/>
            <w:tcW w:w="9673" w:type="dxa"/>
            <w:vAlign w:val="center"/>
            <w:textDirection w:val="lrTb"/>
            <w:noWrap w:val="false"/>
          </w:tcPr>
          <w:p>
            <w:pPr>
              <w:jc w:val="left"/>
              <w:rPr>
                <w:rFonts w:hint="default"/>
                <w:b/>
                <w:bCs/>
                <w:color w:val="000000" w:themeColor="text1"/>
                <w:sz w:val="21"/>
                <w:szCs w:val="21"/>
                <w:highlight w:val="none"/>
                <w:lang w:val="en-US"/>
                <w14:textFill>
                  <w14:solidFill>
                    <w14:schemeClr w14:val="tx1"/>
                  </w14:solidFill>
                </w14:textFill>
              </w:rPr>
            </w:pPr>
            <w:r>
              <w:rPr>
                <w:rFonts w:hint="eastAsia" w:cs="Tahoma"/>
                <w:b/>
                <w:bCs/>
                <w:color w:val="000000" w:themeColor="text1"/>
                <w:sz w:val="21"/>
                <w:szCs w:val="21"/>
                <w:highlight w:val="none"/>
                <w:lang w:val="en-US" w:eastAsia="zh-CN"/>
                <w14:textFill>
                  <w14:solidFill>
                    <w14:schemeClr w14:val="tx1"/>
                  </w14:solidFill>
                </w14:textFill>
              </w:rPr>
              <w:t xml:space="preserve"> 行人过街系统工程数量表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5.1</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标志板</w:t>
            </w:r>
            <w:r/>
          </w:p>
        </w:tc>
        <w:tc>
          <w:tcPr>
            <w:tcW w:w="2427" w:type="dxa"/>
            <w:vAlign w:val="center"/>
            <w:textDirection w:val="lrTb"/>
            <w:noWrap w:val="false"/>
          </w:tcPr>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违法监控录入</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附着式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5.2</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标志板</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前方监控交通违法</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附着式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5.3</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标志板</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违法监控录入</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附着式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5.4</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标志板</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前方监控交通违法</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附着式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r>
            <w:r/>
          </w:p>
        </w:tc>
        <w:tc>
          <w:tcPr>
            <w:tcW w:w="4077" w:type="dxa"/>
            <w:vAlign w:val="center"/>
            <w:textDirection w:val="lrTb"/>
            <w:noWrap w:val="false"/>
          </w:tcPr>
          <w:p>
            <w:pP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cs="Tahoma"/>
                <w:b w:val="0"/>
                <w:bCs w:val="0"/>
                <w:color w:val="000000" w:themeColor="text1"/>
                <w:sz w:val="21"/>
                <w:szCs w:val="21"/>
                <w:highlight w:val="none"/>
                <w:lang w:val="en-US" w:eastAsia="zh-CN"/>
                <w14:textFill>
                  <w14:solidFill>
                    <w14:schemeClr w14:val="tx1"/>
                  </w14:solidFill>
                </w14:textFill>
              </w:rPr>
              <w:t xml:space="preserve">小计（5)</w:t>
            </w:r>
            <w:r/>
          </w:p>
        </w:tc>
        <w:tc>
          <w:tcPr>
            <w:tcW w:w="242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503" w:type="dxa"/>
            <w:vAlign w:val="center"/>
            <w:textDirection w:val="lrTb"/>
            <w:noWrap w:val="false"/>
          </w:tcPr>
          <w:p>
            <w:pPr>
              <w:ind w:right="-105"/>
              <w:jc w:val="center"/>
              <w:spacing w:line="340" w:lineRule="exact"/>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六</w:t>
            </w:r>
            <w:r/>
          </w:p>
        </w:tc>
        <w:tc>
          <w:tcPr>
            <w:gridSpan w:val="5"/>
            <w:tcW w:w="9673" w:type="dxa"/>
            <w:vAlign w:val="center"/>
            <w:textDirection w:val="lrTb"/>
            <w:noWrap w:val="false"/>
          </w:tcPr>
          <w:p>
            <w:pPr>
              <w:jc w:val="left"/>
              <w:rPr>
                <w:rFonts w:hint="eastAsia"/>
                <w:b w:val="0"/>
                <w:bCs w:val="0"/>
                <w:color w:val="000000" w:themeColor="text1"/>
                <w:sz w:val="21"/>
                <w:szCs w:val="21"/>
                <w:highlight w:val="none"/>
                <w14:textFill>
                  <w14:solidFill>
                    <w14:schemeClr w14:val="tx1"/>
                  </w14:solidFill>
                </w14:textFill>
              </w:rPr>
            </w:pPr>
            <w:r>
              <w:rPr>
                <w:rFonts w:hint="eastAsia" w:cs="Tahoma"/>
                <w:b w:val="0"/>
                <w:bCs w:val="0"/>
                <w:color w:val="000000" w:themeColor="text1"/>
                <w:sz w:val="21"/>
                <w:szCs w:val="21"/>
                <w:highlight w:val="none"/>
                <w:lang w:val="en-US" w:eastAsia="zh-CN"/>
                <w14:textFill>
                  <w14:solidFill>
                    <w14:schemeClr w14:val="tx1"/>
                  </w14:solidFill>
                </w14:textFill>
              </w:rPr>
              <w:t xml:space="preserve"> 信号灯故障智能检测系统</w:t>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6.1</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智能运维基础模块</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1.支持资产管理,包括平台同步设备/通道、智能设备、IT基础设备、软件应用;</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2.支持设备在线状态、视频点播、视频质量诊断、录像完整性、卡口抓拍量检测等功能,并支持对以上异常故障的报警及可视化报表统计;</w:t>
            </w:r>
            <w:r/>
          </w:p>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6.2</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通道授权</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通道授权</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智能运维NMS的通道授权模块;每份包含100路通道授权</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tcW w:w="1974" w:type="dxa"/>
            <w:vAlign w:val="center"/>
            <w:textDirection w:val="lrTb"/>
            <w:noWrap w:val="false"/>
          </w:tcPr>
          <w:p>
            <w:pPr>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6.3</w:t>
            </w:r>
            <w:r/>
          </w:p>
        </w:tc>
        <w:tc>
          <w:tcPr>
            <w:tcW w:w="4077" w:type="dxa"/>
            <w:vAlign w:val="center"/>
            <w:textDirection w:val="lrTb"/>
            <w:noWrap w:val="false"/>
          </w:tcPr>
          <w:p>
            <w:pPr>
              <w:jc w:val="center"/>
              <w:keepLines w:val="0"/>
              <w:keepNext w:val="0"/>
              <w:widowControl/>
              <w:rPr>
                <w:rFonts w:hint="default"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交警设备设施故障检测模块</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机动车信号灯/非机动车信号灯/人行横道信号灯/车道信号灯/道路交通信号灯倒计时器的信号灯不亮报警、信号灯单色灯常亮报警、信号灯同亮报警、信号灯亮度不足报警、信号灯遮挡报警、信号灯黄闪报警,支持展示异常图片,并在图片中标记异常信号灯目标物检测区域和检测算法配置支持对视频通道进行信号灯、LED屏等检测对象检测区配置,支持基于实时通道图片画面进行检测区绘制圈选出检测目标,同时可配置对应检测类型和算法类型,以及对算法分析时长进行配置;</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6.4</w:t>
            </w:r>
            <w:r/>
          </w:p>
        </w:tc>
        <w:tc>
          <w:tcPr>
            <w:tcW w:w="4077" w:type="dxa"/>
            <w:vAlign w:val="center"/>
            <w:textDirection w:val="lrTb"/>
            <w:noWrap w:val="false"/>
          </w:tcPr>
          <w:p>
            <w:pPr>
              <w:jc w:val="center"/>
              <w:keepLines w:val="0"/>
              <w:keepNext w:val="0"/>
              <w:widowControl/>
              <w:rPr>
                <w:rFonts w:hint="eastAsia"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运维硬件服务器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CPU:不低于8物理核心/16线程</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内存:配置不低于2根16GB DDR4内存,容量最高支持至256GB</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网卡:板载集成千兆双口+双口千兆网卡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通过riser卡可提供2种PCIe选择:最大可支持2个×8 PCIe 插槽,可支持1块全高半长加1块半高半长PCIe卡最大可支持1个×16 PCIe 插槽</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SAS3008卡,支持RAID0/1/10</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硬盘:2T LFF SATA × 2</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eastAsi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eastAsia="宋体"/>
                <w:b w:val="0"/>
                <w:bCs w:val="0"/>
                <w:color w:val="000000" w:themeColor="text1"/>
                <w:sz w:val="21"/>
                <w:szCs w:val="21"/>
                <w:highlight w:val="none"/>
                <w:lang w:val="en-US" w:eastAsia="zh-CN"/>
                <w14:textFill>
                  <w14:solidFill>
                    <w14:schemeClr w14:val="tx1"/>
                  </w14:solidFill>
                </w14:textFill>
              </w:rPr>
            </w:pPr>
            <w:r>
              <w:rPr>
                <w:rFonts w:hint="eastAsia"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6.5</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交通事件检测智能服务器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硬盘:1块2.5寸128GB SSD,2块3.5寸4TB硬盘</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内存:4根8GB DDR4内存条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智能卡数量:2块智能分析卡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主处理器:CPU不低于4核8线程,3.6GHz</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支持运行红绿灯检测运维算法分析;单台支持不低于32路400万视频分析;</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eastAsia="宋体"/>
                <w:b w:val="0"/>
                <w:bCs w:val="0"/>
                <w:color w:val="000000" w:themeColor="text1"/>
                <w:sz w:val="21"/>
                <w:szCs w:val="21"/>
                <w:highlight w:val="none"/>
                <w:lang w:val="en-US" w:eastAsia="zh-CN"/>
                <w14:textFill>
                  <w14:solidFill>
                    <w14:schemeClr w14:val="tx1"/>
                  </w14:solidFill>
                </w14:textFill>
              </w:rPr>
            </w:pPr>
            <w:r>
              <w:rPr>
                <w:rFonts w:hint="eastAsia"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6.6</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数据库扩容</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支持5亿条数据量存储</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日增数据写入500万条/天(单条数据平均2K)</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数据接入:针对实时流数据提供安全,可靠,可弹性扩展的数据接入能力,支持从kafka、RabbitMQ等主流中间件数据源以消息流方式接入实时结构化数据,包括:过车数据,人脸数据,Mac数据,RFID数</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据,档案类数据等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数据生命周期管理:支持用户自定义配置数据存储生命周期,自动删除超过生命周期的数据</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高级查询接口:1、提供统一API查询接口功能:对上层业务实现了API统一封装,便于上层业务查询对接2、提供通用SQL查询接口功能:支持通过自定义SQL语句方式查询业务数据</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运维管理:1、支持对数据库系统运维:支持服务启停、支持修改IP以及密码、支持数据库巡检2、支持对数据库监控功能:支持监控系统整体运行情况3、提供数据管家功能:支持创建业务表,支持管理数据接入</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任务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eastAsia="宋体"/>
                <w:b w:val="0"/>
                <w:bCs w:val="0"/>
                <w:color w:val="000000" w:themeColor="text1"/>
                <w:sz w:val="21"/>
                <w:szCs w:val="21"/>
                <w:highlight w:val="none"/>
                <w:lang w:val="en-US" w:eastAsia="zh-CN"/>
                <w14:textFill>
                  <w14:solidFill>
                    <w14:schemeClr w14:val="tx1"/>
                  </w14:solidFill>
                </w14:textFill>
              </w:rPr>
            </w:pPr>
            <w:r>
              <w:rPr>
                <w:rFonts w:hint="eastAsia"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6.7</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流媒体节点软件</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转发参数:支持单节点256路转发(4M码流、四网口绑定)</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存储参数:或支持单节点256路存储(4M码流、四网口绑定);或 支持单节点400路车辆卡口存储(四网口绑定)</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接入参数:支持5000私有协议接入,或2500国标接入,或5000主动注册,或2500 Onvif接入</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eastAsia="宋体"/>
                <w:b w:val="0"/>
                <w:bCs w:val="0"/>
                <w:color w:val="000000" w:themeColor="text1"/>
                <w:sz w:val="21"/>
                <w:szCs w:val="21"/>
                <w:highlight w:val="none"/>
                <w:lang w:val="en-US" w:eastAsia="zh-CN"/>
                <w14:textFill>
                  <w14:solidFill>
                    <w14:schemeClr w14:val="tx1"/>
                  </w14:solidFill>
                </w14:textFill>
              </w:rPr>
            </w:pPr>
            <w:r>
              <w:rPr>
                <w:rFonts w:hint="eastAsia"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6.8</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流媒体节点服务器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处理器:2颗Intel Xeon 4210(R)×2.2G 9.6UPI 13.75M 10C 85W</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内存:配置4条16GB DDR4 2933 REG内存</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固态硬盘(SSD):配置2块480G 2.5寸-SATA固态硬盘</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机械硬盘(HDD):配置2块2T 3.5吋 7.2K 6GbSATA热插拔硬盘;</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RAID控制器:LSI SAS3008 SAS卡(IR)</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网卡:双口千兆 RJ45网卡+四口千兆 RJ45网卡+板载双口千兆RJ45网卡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电源:双电源/550 W/</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eastAsia="宋体"/>
                <w:b w:val="0"/>
                <w:bCs w:val="0"/>
                <w:color w:val="000000" w:themeColor="text1"/>
                <w:sz w:val="21"/>
                <w:szCs w:val="21"/>
                <w:highlight w:val="none"/>
                <w:lang w:val="en-US" w:eastAsia="zh-CN"/>
                <w14:textFill>
                  <w14:solidFill>
                    <w14:schemeClr w14:val="tx1"/>
                  </w14:solidFill>
                </w14:textFill>
              </w:rPr>
            </w:pPr>
            <w:r>
              <w:rPr>
                <w:rFonts w:hint="eastAsia"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r>
            <w:r/>
          </w:p>
        </w:tc>
        <w:tc>
          <w:tcPr>
            <w:tcW w:w="4077" w:type="dxa"/>
            <w:vAlign w:val="center"/>
            <w:textDirection w:val="lrTb"/>
            <w:noWrap w:val="false"/>
          </w:tcPr>
          <w:p>
            <w:pPr>
              <w:rPr>
                <w:rFonts w:hint="default" w:cs="Tahoma"/>
                <w:b w:val="0"/>
                <w:bCs w:val="0"/>
                <w:color w:val="000000" w:themeColor="text1"/>
                <w:sz w:val="21"/>
                <w:szCs w:val="21"/>
                <w:highlight w:val="none"/>
                <w:lang w:val="en-US" w:eastAsia="zh-CN"/>
                <w14:textFill>
                  <w14:solidFill>
                    <w14:schemeClr w14:val="tx1"/>
                  </w14:solidFill>
                </w14:textFill>
              </w:rPr>
            </w:pPr>
            <w:r>
              <w:rPr>
                <w:rFonts w:hint="eastAsia" w:cs="Tahoma"/>
                <w:b w:val="0"/>
                <w:bCs w:val="0"/>
                <w:color w:val="000000" w:themeColor="text1"/>
                <w:sz w:val="21"/>
                <w:szCs w:val="21"/>
                <w:highlight w:val="none"/>
                <w:lang w:val="en-US" w:eastAsia="zh-CN"/>
                <w14:textFill>
                  <w14:solidFill>
                    <w14:schemeClr w14:val="tx1"/>
                  </w14:solidFill>
                </w14:textFill>
              </w:rPr>
              <w:t xml:space="preserve">小计（6)</w:t>
            </w:r>
            <w:r/>
          </w:p>
        </w:tc>
        <w:tc>
          <w:tcPr>
            <w:tcW w:w="2427" w:type="dxa"/>
            <w:vAlign w:val="center"/>
            <w:textDirection w:val="lrTb"/>
            <w:noWrap w:val="false"/>
          </w:tcPr>
          <w:p>
            <w:pPr>
              <w:jc w:val="center"/>
              <w:rPr>
                <w:rFonts w:hint="eastAsia" w:cs="Tahoma"/>
                <w:color w:val="000000" w:themeColor="text1"/>
                <w:sz w:val="21"/>
                <w:szCs w:val="21"/>
                <w:highlight w:val="none"/>
                <w14:textFill>
                  <w14:solidFill>
                    <w14:schemeClr w14:val="tx1"/>
                  </w14:solidFill>
                </w14:textFill>
              </w:rPr>
            </w:pPr>
            <w:r>
              <w:rPr>
                <w:rFonts w:hint="eastAsia" w:cs="Tahoma"/>
                <w:color w:val="000000" w:themeColor="text1"/>
                <w:sz w:val="21"/>
                <w:szCs w:val="21"/>
                <w:highlight w:val="none"/>
                <w14:textFill>
                  <w14:solidFill>
                    <w14:schemeClr w14:val="tx1"/>
                  </w14:solidFill>
                </w14:textFill>
              </w:rPr>
            </w:r>
            <w:r/>
          </w:p>
        </w:tc>
        <w:tc>
          <w:tcPr>
            <w:tcW w:w="503" w:type="dxa"/>
            <w:vAlign w:val="center"/>
            <w:textDirection w:val="lrTb"/>
            <w:noWrap w:val="false"/>
          </w:tcPr>
          <w:p>
            <w:pPr>
              <w:ind w:right="-105"/>
              <w:jc w:val="center"/>
              <w:spacing w:line="340" w:lineRule="exact"/>
              <w:rPr>
                <w:rFonts w:hint="default"/>
                <w:b w:val="0"/>
                <w:bCs w:val="0"/>
                <w:color w:val="000000" w:themeColor="text1"/>
                <w:sz w:val="21"/>
                <w:szCs w:val="21"/>
                <w:highlight w:val="none"/>
                <w:lang w:val="en-US" w:eastAsia="zh-CN"/>
                <w14:textFill>
                  <w14:solidFill>
                    <w14:schemeClr w14:val="tx1"/>
                  </w14:solidFill>
                </w14:textFill>
              </w:rPr>
            </w:pPr>
            <w:r>
              <w:rPr>
                <w:rFonts w:hint="default"/>
                <w:b w:val="0"/>
                <w:bCs w:val="0"/>
                <w:color w:val="000000" w:themeColor="text1"/>
                <w:sz w:val="21"/>
                <w:szCs w:val="21"/>
                <w:highlight w:val="none"/>
                <w:lang w:val="en-US" w:eastAsia="zh-CN"/>
                <w14:textFill>
                  <w14:solidFill>
                    <w14:schemeClr w14:val="tx1"/>
                  </w14:solidFill>
                </w14:textFill>
              </w:rPr>
            </w:r>
            <w:r/>
          </w:p>
        </w:tc>
        <w:tc>
          <w:tcPr>
            <w:tcW w:w="692" w:type="dxa"/>
            <w:vAlign w:val="center"/>
            <w:textDirection w:val="lrTb"/>
            <w:noWrap w:val="false"/>
          </w:tcPr>
          <w:p>
            <w:pPr>
              <w:jc w:val="center"/>
              <w:rPr>
                <w:rFonts w:hint="default"/>
                <w:b w:val="0"/>
                <w:bCs w:val="0"/>
                <w:color w:val="000000" w:themeColor="text1"/>
                <w:sz w:val="21"/>
                <w:szCs w:val="21"/>
                <w:highlight w:val="none"/>
                <w:lang w:val="en-US" w:eastAsia="zh-CN"/>
                <w14:textFill>
                  <w14:solidFill>
                    <w14:schemeClr w14:val="tx1"/>
                  </w14:solidFill>
                </w14:textFill>
              </w:rPr>
            </w:pPr>
            <w:r>
              <w:rPr>
                <w:rFonts w:hint="default"/>
                <w:b w:val="0"/>
                <w:bCs w:val="0"/>
                <w:color w:val="000000" w:themeColor="text1"/>
                <w:sz w:val="21"/>
                <w:szCs w:val="21"/>
                <w:highlight w:val="none"/>
                <w:lang w:val="en-US" w:eastAsia="zh-CN"/>
                <w14:textFill>
                  <w14:solidFill>
                    <w14:schemeClr w14:val="tx1"/>
                  </w14:solidFill>
                </w14:textFill>
              </w:rPr>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七</w:t>
            </w:r>
            <w:r/>
          </w:p>
        </w:tc>
        <w:tc>
          <w:tcPr>
            <w:gridSpan w:val="5"/>
            <w:tcW w:w="9673" w:type="dxa"/>
            <w:vAlign w:val="center"/>
            <w:textDirection w:val="lrTb"/>
            <w:noWrap w:val="false"/>
          </w:tcPr>
          <w:p>
            <w:pPr>
              <w:jc w:val="left"/>
              <w:rPr>
                <w:rFonts w:hint="eastAsia"/>
                <w:b/>
                <w:bCs/>
                <w:color w:val="000000" w:themeColor="text1"/>
                <w:sz w:val="21"/>
                <w:szCs w:val="21"/>
                <w:highlight w:val="none"/>
                <w14:textFill>
                  <w14:solidFill>
                    <w14:schemeClr w14:val="tx1"/>
                  </w14:solidFill>
                </w14:textFill>
              </w:rPr>
            </w:pPr>
            <w:r>
              <w:rPr>
                <w:rFonts w:hint="eastAsia" w:cs="Tahoma"/>
                <w:b/>
                <w:bCs/>
                <w:color w:val="000000" w:themeColor="text1"/>
                <w:sz w:val="21"/>
                <w:szCs w:val="21"/>
                <w:highlight w:val="none"/>
                <w:lang w:val="en-US" w:eastAsia="zh-CN"/>
                <w14:textFill>
                  <w14:solidFill>
                    <w14:schemeClr w14:val="tx1"/>
                  </w14:solidFill>
                </w14:textFill>
              </w:rPr>
              <w:t xml:space="preserve"> 金湖县文明城市智慧交通管理平台系统</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7.1</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新增非机动车逆行违法行为抓拍模块</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对接城区重点逆行的抓拍相机，获取抓拍非机动车违法图片，并实现违法人员的自动人脸识别，人工审核，自动短信+电话提醒，查询处罚等功能</w:t>
            </w:r>
            <w:r/>
          </w:p>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7.2</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新增走机动车道违法行为抓拍模块</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对接城区机动车处的抓拍相机，获取抓拍非机动车违法图片，并实现违法人员的自动人脸识别，人工审核，自动短信+电话提醒，查询处罚等功能</w:t>
            </w:r>
            <w:r/>
          </w:p>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r>
            <w:r/>
          </w:p>
        </w:tc>
        <w:tc>
          <w:tcPr>
            <w:tcW w:w="4077" w:type="dxa"/>
            <w:vAlign w:val="center"/>
            <w:textDirection w:val="lrTb"/>
            <w:noWrap w:val="false"/>
          </w:tcPr>
          <w:p>
            <w:pP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cs="Tahoma"/>
                <w:b w:val="0"/>
                <w:bCs w:val="0"/>
                <w:color w:val="000000" w:themeColor="text1"/>
                <w:sz w:val="21"/>
                <w:szCs w:val="21"/>
                <w:highlight w:val="none"/>
                <w:lang w:val="en-US" w:eastAsia="zh-CN"/>
                <w14:textFill>
                  <w14:solidFill>
                    <w14:schemeClr w14:val="tx1"/>
                  </w14:solidFill>
                </w14:textFill>
              </w:rPr>
              <w:t xml:space="preserve">小计（7)</w:t>
            </w:r>
            <w:r/>
          </w:p>
        </w:tc>
        <w:tc>
          <w:tcPr>
            <w:tcW w:w="242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503" w:type="dxa"/>
            <w:vAlign w:val="center"/>
            <w:textDirection w:val="lrTb"/>
            <w:noWrap w:val="false"/>
          </w:tcPr>
          <w:p>
            <w:pPr>
              <w:ind w:right="-105"/>
              <w:jc w:val="center"/>
              <w:spacing w:line="340" w:lineRule="exact"/>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692"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八</w:t>
            </w:r>
            <w:r/>
          </w:p>
        </w:tc>
        <w:tc>
          <w:tcPr>
            <w:gridSpan w:val="5"/>
            <w:tcW w:w="9673" w:type="dxa"/>
            <w:vAlign w:val="center"/>
            <w:textDirection w:val="lrTb"/>
            <w:noWrap w:val="false"/>
          </w:tcPr>
          <w:p>
            <w:pPr>
              <w:jc w:val="left"/>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t xml:space="preserve"> 电子哨兵系统</w:t>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8.1</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哨兵相机（含柱状支架、臂装支架转接件）</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柱状支架</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臂装支架转接件</w:t>
            </w:r>
            <w:r/>
          </w:p>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具体参数、做法详见图纸设计及采购需求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36"/>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8.2</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交通信息发布屏</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1）物理间距：P10；</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2）像素组成：红绿双基色（支持红，绿，黄三种颜色显示）</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3）显示尺寸：1280mm×640mm</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4）亮度：≥6000cd/m2；</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5）显示内容：支持发布中文、英文、数字、简单图片；</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6）显示方式：支持静止显示、翻页显示、滚动显示；</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7）字体：支持16/24/32号字体；</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8（语音：支持万能语音播报；</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9）防护等级：IP54；</w:t>
            </w:r>
            <w:r/>
          </w:p>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8.3</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暖光LED常亮灯</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暖光LED常亮灯</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1)灯珠数量:≥16颗LED 光源;</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2)照射距离不小于20米</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3)光斑覆盖范围:不低于3车道;</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4)中心光照度:LED:&lt;40lx(20m光照度);</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5)亮度调节:1~20级亮度可调;</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6)支持外置光栅防眩目处理;</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7)供电方式:AC100–240V;</w:t>
            </w:r>
            <w:r/>
          </w:p>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8.4</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4路智能终端管理盒</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cs="Tahoma"/>
                <w:color w:val="000000" w:themeColor="text1"/>
                <w:sz w:val="21"/>
                <w:szCs w:val="21"/>
                <w:highlight w:val="none"/>
                <w14:textFill>
                  <w14:solidFill>
                    <w14:schemeClr w14:val="tx1"/>
                  </w14:solidFill>
                </w14:textFill>
              </w:rPr>
              <w:t xml:space="preserve">4路智能终端管理盒</w:t>
            </w:r>
            <w:r/>
          </w:p>
          <w:p>
            <w:pPr>
              <w:jc w:val="center"/>
              <w:keepLines w:val="0"/>
              <w:keepNext w:val="0"/>
              <w:widowControl/>
              <w:rPr>
                <w:rFonts w:hint="eastAsia" w:eastAsia="宋体" w:cs="Tahoma"/>
                <w:color w:val="000000" w:themeColor="text1"/>
                <w:sz w:val="21"/>
                <w:szCs w:val="21"/>
                <w:highlight w:val="none"/>
                <w:lang w:eastAsia="zh-CN"/>
                <w14:textFill>
                  <w14:solidFill>
                    <w14:schemeClr w14:val="tx1"/>
                  </w14:solidFill>
                </w14:textFill>
              </w:rPr>
              <w:suppressLineNumbers w:val="0"/>
            </w:pPr>
            <w:r>
              <w:rPr>
                <w:rFonts w:hint="eastAsia" w:cs="Tahoma"/>
                <w:color w:val="000000" w:themeColor="text1"/>
                <w:sz w:val="21"/>
                <w:szCs w:val="21"/>
                <w:highlight w:val="none"/>
                <w14:textFill>
                  <w14:solidFill>
                    <w14:schemeClr w14:val="tx1"/>
                  </w14:solidFill>
                </w14:textFill>
              </w:rPr>
              <w:t xml:space="preserve">具体参数、做法详见图纸设计及采购需求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8.5</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2m横臂,含杆件和基础（开挖、回填、碎石、C30砼、钢筋、模板、杆件、基础笼等）</w:t>
            </w:r>
            <w:r/>
          </w:p>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8.6</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标杆</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6m横臂,含杆件和基础（开挖、回填、碎石、C30砼、钢筋、模板、杆件、基础笼等）</w:t>
            </w:r>
            <w:r/>
          </w:p>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8.7</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顶管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含过路2根φ75PE管</w:t>
            </w:r>
            <w:r/>
          </w:p>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8.8</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窨井</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窨井（井深暂按1350）</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开挖、回填、C30混凝土基础、M10砂浆砌MU10机制砖、C30混凝土现浇、M10防水水泥砂浆抹面、铸铁井盖、模板</w:t>
            </w:r>
            <w:r/>
          </w:p>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座</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8.9</w:t>
            </w:r>
            <w:r/>
          </w:p>
        </w:tc>
        <w:tc>
          <w:tcPr>
            <w:tcW w:w="4077" w:type="dxa"/>
            <w:vAlign w:val="center"/>
            <w:textDirection w:val="lrTb"/>
            <w:noWrap w:val="false"/>
          </w:tcPr>
          <w:p>
            <w:pPr>
              <w:jc w:val="center"/>
              <w:keepLines w:val="0"/>
              <w:keepNext w:val="0"/>
              <w:widowControl/>
              <w:rPr>
                <w:rFonts w:hint="eastAsia" w:ascii="Arial" w:hAnsi="Arial" w:eastAsia="Arial"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配线</w:t>
            </w:r>
            <w:r/>
          </w:p>
        </w:tc>
        <w:tc>
          <w:tcPr>
            <w:tcW w:w="2427" w:type="dxa"/>
            <w:vAlign w:val="center"/>
            <w:textDirection w:val="lrTb"/>
            <w:noWrap w:val="false"/>
          </w:tcPr>
          <w:p>
            <w:pPr>
              <w:jc w:val="center"/>
              <w:keepLines w:val="0"/>
              <w:keepNext w:val="0"/>
              <w:widowControl/>
              <w:rPr>
                <w:rFonts w:hint="eastAsia" w:ascii="Arial" w:hAnsi="Arial"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RVV-12*1.5,按实计量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Arial" w:hAnsi="Arial" w:eastAsia="Arial" w:cs="Arial"/>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ascii="Arial" w:hAnsi="Arial" w:eastAsia="Arial" w:cs="Arial"/>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350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8.10</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配线</w:t>
            </w:r>
            <w:r/>
          </w:p>
        </w:tc>
        <w:tc>
          <w:tcPr>
            <w:tcW w:w="2427" w:type="dxa"/>
            <w:vAlign w:val="center"/>
            <w:textDirection w:val="lrTb"/>
            <w:noWrap w:val="false"/>
          </w:tcPr>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 4*1.5,按实计量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8.11</w:t>
            </w:r>
            <w:r/>
          </w:p>
        </w:tc>
        <w:tc>
          <w:tcPr>
            <w:tcW w:w="4077" w:type="dxa"/>
            <w:vAlign w:val="center"/>
            <w:textDirection w:val="lrTb"/>
            <w:noWrap w:val="false"/>
          </w:tcPr>
          <w:p>
            <w:pPr>
              <w:jc w:val="center"/>
              <w:keepLines w:val="0"/>
              <w:keepNext w:val="0"/>
              <w:widowControl/>
              <w:rPr>
                <w:rFonts w:hint="eastAsia"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配线</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RVV-3×1.5,按实计量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8.12</w:t>
            </w:r>
            <w:r/>
          </w:p>
        </w:tc>
        <w:tc>
          <w:tcPr>
            <w:tcW w:w="4077" w:type="dxa"/>
            <w:vAlign w:val="center"/>
            <w:textDirection w:val="lrTb"/>
            <w:noWrap w:val="false"/>
          </w:tcPr>
          <w:p>
            <w:pPr>
              <w:jc w:val="center"/>
              <w:keepLines w:val="0"/>
              <w:keepNext w:val="0"/>
              <w:widowControl/>
              <w:rPr>
                <w:rFonts w:hint="eastAsia"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信号线缆（信号机通讯用）</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超5类网络线(5M成品网线)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8.13</w:t>
            </w:r>
            <w:r/>
          </w:p>
        </w:tc>
        <w:tc>
          <w:tcPr>
            <w:tcW w:w="4077" w:type="dxa"/>
            <w:vAlign w:val="center"/>
            <w:textDirection w:val="lrTb"/>
            <w:noWrap w:val="false"/>
          </w:tcPr>
          <w:p>
            <w:pPr>
              <w:jc w:val="center"/>
              <w:keepLines w:val="0"/>
              <w:keepNext w:val="0"/>
              <w:widowControl/>
              <w:rPr>
                <w:rFonts w:hint="eastAsia"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供电接电手续资料</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供电接电手续资料</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中标方承担二年电费,公安交警部门不提供开户手续资料同时质保期后不承担电费。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8.14</w:t>
            </w:r>
            <w:r/>
          </w:p>
        </w:tc>
        <w:tc>
          <w:tcPr>
            <w:tcW w:w="4077" w:type="dxa"/>
            <w:vAlign w:val="center"/>
            <w:textDirection w:val="lrTb"/>
            <w:noWrap w:val="false"/>
          </w:tcPr>
          <w:p>
            <w:pPr>
              <w:jc w:val="center"/>
              <w:keepLines w:val="0"/>
              <w:keepNext w:val="0"/>
              <w:widowControl/>
              <w:rPr>
                <w:rFonts w:hint="eastAsia"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YJV-2×16mm2,按实计量</w:t>
            </w:r>
            <w:r/>
          </w:p>
          <w:p>
            <w:pPr>
              <w:jc w:val="center"/>
              <w:keepLines w:val="0"/>
              <w:keepNext w:val="0"/>
              <w:widowControl/>
              <w:rPr>
                <w:rFonts w:hint="eastAsia"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bidi="ar-SA"/>
                <w14:textFill>
                  <w14:solidFill>
                    <w14:schemeClr w14:val="tx1"/>
                  </w14:solidFill>
                </w14:textFill>
              </w:rPr>
              <w:t xml:space="preserve">8.15</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接电控制柜</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接电控制柜</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600mm×450mm×1200mm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箱体采用不锈钢,板厚不小于1.2mm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ascii="Calibri" w:hAnsi="Calibri" w:eastAsia="宋体" w:cs="Times New Roman"/>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8.16</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电缆标示桩</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10CM*10CM*70CM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电缆保护标志桩为定制标准件,材质采用PVC或玻璃钢材质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8.17</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PEФ40MM*30MM*3MM,按实计量</w:t>
            </w:r>
            <w:r/>
          </w:p>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8.18</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控制漏电保护器</w:t>
            </w:r>
            <w:r/>
          </w:p>
        </w:tc>
        <w:tc>
          <w:tcPr>
            <w:tcW w:w="2427" w:type="dxa"/>
            <w:vAlign w:val="center"/>
            <w:textDirection w:val="lrTb"/>
            <w:noWrap w:val="false"/>
          </w:tcPr>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控制漏电保护器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自动复位1A*63A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8.19</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双批开关</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双批开关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8.20</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双批保护器</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双批保护器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8.21</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顶管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供电接电线路过路顶管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φ40硅芯管*2</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8.22</w:t>
            </w:r>
            <w:r/>
          </w:p>
        </w:tc>
        <w:tc>
          <w:tcPr>
            <w:tcW w:w="4077" w:type="dxa"/>
            <w:vAlign w:val="center"/>
            <w:textDirection w:val="lrTb"/>
            <w:noWrap w:val="false"/>
          </w:tcPr>
          <w:p>
            <w:pPr>
              <w:jc w:val="center"/>
              <w:keepLines w:val="0"/>
              <w:keepNext w:val="0"/>
              <w:widowControl/>
              <w:rPr>
                <w:rFonts w:hint="eastAsia"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挖槽</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开挖、回填60CM*30CM</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长度为预估,距离以现场实际为准</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根据现场自行勘察，自行考虑；</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8.23</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插座</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插座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三眼*10组</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8.24</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低压避雷器</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低压避雷器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防雷20-80KA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组</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8.25</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运营商链路</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运营商链路</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条</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小计（</w:t>
            </w:r>
            <w:r>
              <w:rPr>
                <w:rFonts w:hint="eastAsia" w:eastAsia="宋体"/>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九</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color w:val="000000" w:themeColor="text1"/>
                <w:highlight w:val="none"/>
                <w14:textFill>
                  <w14:solidFill>
                    <w14:schemeClr w14:val="tx1"/>
                  </w14:solidFill>
                </w14:textFill>
              </w:rPr>
              <w:t xml:space="preserve">  无人机方舱</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Calibri" w:hAnsi="Calibri" w:eastAsia="宋体" w:cs="Tahoma"/>
                <w:color w:val="000000" w:themeColor="text1"/>
                <w:sz w:val="21"/>
                <w:szCs w:val="21"/>
                <w:highlight w:val="none"/>
                <w:lang w:val="en-US" w:eastAsia="zh-CN" w:bidi="ar-SA"/>
                <w14:textFill>
                  <w14:solidFill>
                    <w14:schemeClr w14:val="tx1"/>
                  </w14:solidFill>
                </w14:textFill>
              </w:rPr>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9.1</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无人机小型机场</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Calibri" w:hAnsi="Calibri" w:eastAsia="宋体" w:cs="Tahoma"/>
                <w:color w:val="000000" w:themeColor="text1"/>
                <w:sz w:val="21"/>
                <w:szCs w:val="21"/>
                <w:highlight w:val="none"/>
                <w:lang w:val="en-US" w:eastAsia="zh-CN" w:bidi="ar-SA"/>
                <w14:textFill>
                  <w14:solidFill>
                    <w14:schemeClr w14:val="tx1"/>
                  </w14:solidFill>
                </w14:textFill>
              </w:rPr>
              <w:t xml:space="preserve">无人机小型机场</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Calibri" w:hAnsi="Calibri" w:eastAsia="宋体" w:cs="Tahoma"/>
                <w:color w:val="000000" w:themeColor="text1"/>
                <w:sz w:val="21"/>
                <w:szCs w:val="21"/>
                <w:highlight w:val="none"/>
                <w:lang w:val="en-US" w:eastAsia="zh-CN" w:bidi="ar-SA"/>
                <w14:textFill>
                  <w14:solidFill>
                    <w14:schemeClr w14:val="tx1"/>
                  </w14:solidFill>
                </w14:textFill>
              </w:rPr>
              <w:t xml:space="preserve">高速路口、西偏泓路口、荷花大道路口、420与247路口</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Calibri" w:hAnsi="Calibri" w:eastAsia="宋体" w:cs="Tahoma"/>
                <w:color w:val="000000" w:themeColor="text1"/>
                <w:sz w:val="21"/>
                <w:szCs w:val="21"/>
                <w:highlight w:val="none"/>
                <w:lang w:val="en-US" w:eastAsia="zh-CN" w:bidi="ar-SA"/>
                <w14:textFill>
                  <w14:solidFill>
                    <w14:schemeClr w14:val="tx1"/>
                  </w14:solidFill>
                </w14:textFill>
              </w:rPr>
              <w:t xml:space="preserve">具体参数、做法详见图纸设计及采购需求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both"/>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787"/>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9.2</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设备保险服务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设备保险服务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包含两年机库及飞机设备的原厂保障服务。包含所投设备(所有零部件，易损件，电池等消耗品)的机损、维修服务。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高速路口、西偏泓路口、荷花大道路口、420与247路口</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cs="Arial"/>
                <w:b w:val="0"/>
                <w:bCs w:val="0"/>
                <w:color w:val="000000" w:themeColor="text1"/>
                <w:sz w:val="21"/>
                <w:szCs w:val="21"/>
                <w:highlight w:val="none"/>
                <w:lang w:val="en-US" w:eastAsia="zh-CN" w:bidi="ar-SA"/>
                <w14:textFill>
                  <w14:solidFill>
                    <w14:schemeClr w14:val="tx1"/>
                  </w14:solidFill>
                </w14:textFill>
              </w:rPr>
              <w:t xml:space="preserve">9.3</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无人机三责险</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第三者责任险多(100万/年)，共计两年</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高速路口、西偏泓路口、荷花大道路口、420与247路口</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both"/>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cs="Arial"/>
                <w:b w:val="0"/>
                <w:bCs w:val="0"/>
                <w:color w:val="000000" w:themeColor="text1"/>
                <w:sz w:val="21"/>
                <w:szCs w:val="21"/>
                <w:highlight w:val="none"/>
                <w:lang w:val="en-US" w:eastAsia="zh-CN" w:bidi="ar-SA"/>
                <w14:textFill>
                  <w14:solidFill>
                    <w14:schemeClr w14:val="tx1"/>
                  </w14:solidFill>
                </w14:textFill>
              </w:rPr>
              <w:t xml:space="preserve">9.4</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备用电池</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电池需适配所投无人机</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充电循环次数≥200次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高速路口、西偏泓路口、荷花大道路口、420与247路口</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cs="Arial"/>
                <w:b w:val="0"/>
                <w:bCs w:val="0"/>
                <w:color w:val="000000" w:themeColor="text1"/>
                <w:sz w:val="21"/>
                <w:szCs w:val="21"/>
                <w:highlight w:val="none"/>
                <w:lang w:val="en-US" w:eastAsia="zh-CN" w:bidi="ar-SA"/>
                <w14:textFill>
                  <w14:solidFill>
                    <w14:schemeClr w14:val="tx1"/>
                  </w14:solidFill>
                </w14:textFill>
              </w:rPr>
              <w:t xml:space="preserve">9.5</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探照灯</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含支架安装尺寸:≤100x170x30 mm</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重量:≤100g</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最大功耗:≥30W</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安装方式:快拆手拧螺丝，可同时安装喊话器</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高速路口、西偏泓路口、荷花大道路口、420与247路口</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9.6</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喊话器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含支架安装尺寸:≤75x70x55 mm</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重量:≤100g；</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一米处声压缓:≥100dB；</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广播距离：≥200米；</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最大功耗：≥15W；</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安装方式:快拆手拧螺丝，可同时安装探照灯</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高速路口、西偏泓路口、荷花大道路口、420与247路口</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9.7</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增强图传模块</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增强图传模块可将设备接入4G网络，实现增强图传等多项功能。</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高速路口、西偏泓路口、荷花大道路口、420与247路口</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9.8</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行业版遥控器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天线:≥4天线</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工作频段:支持 2.4G、5.8G 图传</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显示器分辨率:地面站显示器应采用触摸屏，屏幕显示分辨率≥1920*1080p</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显示器亮度:显示器亮度≥1400尼特</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遥控器 4G 增强图传:支持4G增强图传模块，提升图传稳定性</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遥控器重量:不带外置电池重量≤1.2kg</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接口:支持的接口包括HDMI 1.4，SD3.0，Type-C支持 0TG，支持PD充电，USB-A遥控器支持外置电池</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最大信号有效距离(无干扰、无遮挡):≥20公里(FCC)10</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公里(CE/SRRC/MIC)</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高速路口、西偏泓路口、荷花大道路口、420与247路口</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default" w:ascii="Calibri" w:hAnsi="Calibri" w:eastAsia="宋体" w:cs="Times New Roman"/>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9.9</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无人机信号中继固定站</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中继站系统精度</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基站定位误差:</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单点精度(未标定):</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水平:1.5 米(RMS)，垂直:3.0米(RMS)</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星基差分精度:</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收敛{时间:20 分钟</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水平:30厘米(RMS)垂直:40厘米(RMS)</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 RTK 标定:</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水平:1.0厘米(RMS)+1 ppm</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垂直:3.0 厘米(RMS)+1 ppm</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中继站图传工作频率:2.4GHz/5.2GHz/5.8GHz</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功率 ≥10 瓦</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内置电池工作时间≥3 小时</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工作环境温度:优于-20℃至50°C</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高速路口、西偏泓路口、荷花大道路口、420与247路口</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9.10</w:t>
            </w:r>
            <w:r/>
          </w:p>
        </w:tc>
        <w:tc>
          <w:tcPr>
            <w:tcW w:w="4077" w:type="dxa"/>
            <w:vAlign w:val="center"/>
            <w:textDirection w:val="lrTb"/>
            <w:noWrap w:val="false"/>
          </w:tcPr>
          <w:p>
            <w:pPr>
              <w:jc w:val="center"/>
              <w:keepLines w:val="0"/>
              <w:keepNext w:val="0"/>
              <w:widowControl/>
              <w:rPr>
                <w:rFonts w:hint="default"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运维保养费用</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运维保养费用</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包含两年机库及飞机的运维保养服务，现场保养不低于一个季度一次。</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高速路口、西偏泓路口、荷花大道路口、420与247路口</w:t>
            </w:r>
            <w:r/>
          </w:p>
          <w:p>
            <w:pPr>
              <w:jc w:val="center"/>
              <w:keepLines w:val="0"/>
              <w:keepNext w:val="0"/>
              <w:widowControl/>
              <w:rPr>
                <w:rFonts w:hint="default"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r>
            <w:r/>
          </w:p>
        </w:tc>
        <w:tc>
          <w:tcPr>
            <w:tcW w:w="4077" w:type="dxa"/>
            <w:vAlign w:val="center"/>
            <w:textDirection w:val="lrTb"/>
            <w:noWrap w:val="false"/>
          </w:tcPr>
          <w:p>
            <w:pPr>
              <w:rPr>
                <w:rFonts w:hint="eastAsia"/>
                <w:b w:val="0"/>
                <w:bCs w:val="0"/>
                <w:color w:val="000000" w:themeColor="text1"/>
                <w:sz w:val="21"/>
                <w:szCs w:val="21"/>
                <w:highlight w:val="none"/>
                <w14:textFill>
                  <w14:solidFill>
                    <w14:schemeClr w14:val="tx1"/>
                  </w14:solidFill>
                </w14:textFill>
              </w:rPr>
            </w:pPr>
            <w:r>
              <w:rPr>
                <w:rFonts w:hint="eastAsia" w:eastAsia="宋体"/>
                <w:b w:val="0"/>
                <w:bCs w:val="0"/>
                <w:color w:val="000000" w:themeColor="text1"/>
                <w:sz w:val="21"/>
                <w:szCs w:val="21"/>
                <w:highlight w:val="none"/>
                <w:lang w:eastAsia="zh-CN"/>
                <w14:textFill>
                  <w14:solidFill>
                    <w14:schemeClr w14:val="tx1"/>
                  </w14:solidFill>
                </w14:textFill>
              </w:rPr>
              <w:t xml:space="preserve">小计（</w:t>
            </w:r>
            <w:r>
              <w:rPr>
                <w:rFonts w:hint="eastAsia" w:eastAsia="宋体"/>
                <w:b w:val="0"/>
                <w:bCs w:val="0"/>
                <w:color w:val="000000" w:themeColor="text1"/>
                <w:sz w:val="21"/>
                <w:szCs w:val="21"/>
                <w:highlight w:val="none"/>
                <w:lang w:val="en-US" w:eastAsia="zh-CN"/>
                <w14:textFill>
                  <w14:solidFill>
                    <w14:schemeClr w14:val="tx1"/>
                  </w14:solidFill>
                </w14:textFill>
              </w:rPr>
              <w:t xml:space="preserve">9</w:t>
            </w:r>
            <w:r>
              <w:rPr>
                <w:rFonts w:hint="eastAsia" w:eastAsia="宋体"/>
                <w:b w:val="0"/>
                <w:bCs w:val="0"/>
                <w:color w:val="000000" w:themeColor="text1"/>
                <w:sz w:val="21"/>
                <w:szCs w:val="21"/>
                <w:highlight w:val="none"/>
                <w:lang w:eastAsia="zh-CN"/>
                <w14:textFill>
                  <w14:solidFill>
                    <w14:schemeClr w14:val="tx1"/>
                  </w14:solidFill>
                </w14:textFill>
              </w:rPr>
              <w:t xml:space="preserve">）</w:t>
            </w:r>
            <w:r/>
          </w:p>
        </w:tc>
        <w:tc>
          <w:tcPr>
            <w:tcW w:w="2427"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03" w:type="dxa"/>
            <w:vAlign w:val="center"/>
            <w:textDirection w:val="lrTb"/>
            <w:noWrap w:val="false"/>
          </w:tcPr>
          <w:p>
            <w:pPr>
              <w:ind w:right="-105"/>
              <w:jc w:val="center"/>
              <w:spacing w:line="3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92"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974"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cs="Arial"/>
                <w:b w:val="0"/>
                <w:bCs w:val="0"/>
                <w:color w:val="000000" w:themeColor="text1"/>
                <w:sz w:val="21"/>
                <w:szCs w:val="21"/>
                <w:highlight w:val="none"/>
                <w:lang w:val="en-US" w:eastAsia="zh-CN" w:bidi="ar-SA"/>
                <w14:textFill>
                  <w14:solidFill>
                    <w14:schemeClr w14:val="tx1"/>
                  </w14:solidFill>
                </w14:textFill>
              </w:rPr>
              <w:t xml:space="preserve">十</w:t>
            </w:r>
            <w:r/>
          </w:p>
        </w:tc>
        <w:tc>
          <w:tcPr>
            <w:gridSpan w:val="5"/>
            <w:tcW w:w="9673" w:type="dxa"/>
            <w:vAlign w:val="center"/>
            <w:textDirection w:val="lrTb"/>
            <w:noWrap w:val="false"/>
          </w:tcPr>
          <w:p>
            <w:pPr>
              <w:jc w:val="left"/>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t xml:space="preserve"> 行人和非机动车电子劝导员及非机动车闯红灯系统工程数量表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10.1</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监控摄像设备</w:t>
            </w:r>
            <w:r/>
          </w:p>
        </w:tc>
        <w:tc>
          <w:tcPr>
            <w:tcW w:w="2427" w:type="dxa"/>
            <w:vAlign w:val="center"/>
            <w:textDirection w:val="lrTb"/>
            <w:noWrap w:val="false"/>
          </w:tcPr>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1200万行人闯红灯抓拍单元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1200万相机抓拍</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78</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10.2</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LED频闪灯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78</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10.3</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音柱</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户外音柱</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78</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90"/>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10.4</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终端管理设备</w:t>
            </w:r>
            <w:r/>
          </w:p>
        </w:tc>
        <w:tc>
          <w:tcPr>
            <w:tcW w:w="2427" w:type="dxa"/>
            <w:vAlign w:val="center"/>
            <w:textDirection w:val="lrTb"/>
            <w:noWrap w:val="false"/>
          </w:tcPr>
          <w:p>
            <w:pPr>
              <w:jc w:val="center"/>
              <w:keepLines w:val="0"/>
              <w:keepNext w:val="0"/>
              <w:widowControl/>
              <w:rPr>
                <w:rFonts w:hint="default" w:eastAsia="宋体" w:cs="Tahom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终端管理设备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10.5</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红绿灯信号检测器</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红绿灯信号检测器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tcW w:w="1974" w:type="dxa"/>
            <w:vAlign w:val="center"/>
            <w:textDirection w:val="lrTb"/>
            <w:noWrap w:val="false"/>
          </w:tcPr>
          <w:p>
            <w:pPr>
              <w:jc w:val="both"/>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10.6</w:t>
            </w:r>
            <w:r/>
          </w:p>
        </w:tc>
        <w:tc>
          <w:tcPr>
            <w:tcW w:w="4077" w:type="dxa"/>
            <w:vAlign w:val="center"/>
            <w:textDirection w:val="lrTb"/>
            <w:noWrap w:val="false"/>
          </w:tcPr>
          <w:p>
            <w:pPr>
              <w:jc w:val="center"/>
              <w:keepLines w:val="0"/>
              <w:keepNext w:val="0"/>
              <w:widowControl/>
              <w:rPr>
                <w:rFonts w:hint="eastAsia" w:ascii="Arial" w:hAnsi="Arial" w:eastAsia="Arial"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配套杆件</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配套杆件及基础（开挖、回填、C30砼、模板、杆件、基础笼等）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每套基础尺寸0.8*0.8*1m,共8套</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立柱高4m,壁厚4mm,外径120mm</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供电接电保护装置</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Arial" w:hAnsi="Arial" w:eastAsia="Arial" w:cs="Arial"/>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Arial" w:hAnsi="Arial" w:eastAsia="Arial" w:cs="Arial"/>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78</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10.7</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顶管</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顶管施工2根φ75PE管,壁厚5mm</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1240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10.8</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窨井</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窨井（井深暂按1350）</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开挖、回填、C30混凝土基础、M10砂浆砌MU10机制砖、C30混凝土现浇、M10防水水泥砂浆抹面、铸铁井盖、模板</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座</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10.9</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交通智能系统调试</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调试</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项</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r>
            <w:r/>
          </w:p>
        </w:tc>
        <w:tc>
          <w:tcPr>
            <w:tcW w:w="4077" w:type="dxa"/>
            <w:vAlign w:val="center"/>
            <w:textDirection w:val="lrTb"/>
            <w:noWrap w:val="false"/>
          </w:tcPr>
          <w:p>
            <w:pPr>
              <w:jc w:val="left"/>
              <w:keepLines w:val="0"/>
              <w:keepNext w:val="0"/>
              <w:widowControl/>
              <w:tabs>
                <w:tab w:val="left" w:pos="449" w:leader="none"/>
              </w:tabs>
              <w:rPr>
                <w:rFonts w:hint="eastAsia"/>
                <w:b w:val="0"/>
                <w:bCs w:val="0"/>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小计（10）</w:t>
            </w:r>
            <w:r/>
          </w:p>
        </w:tc>
        <w:tc>
          <w:tcPr>
            <w:tcW w:w="2427" w:type="dxa"/>
            <w:vAlign w:val="center"/>
            <w:textDirection w:val="lrTb"/>
            <w:noWrap w:val="false"/>
          </w:tcPr>
          <w:p>
            <w:pPr>
              <w:jc w:val="center"/>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r>
            <w:r/>
          </w:p>
        </w:tc>
        <w:tc>
          <w:tcPr>
            <w:tcW w:w="503" w:type="dxa"/>
            <w:vAlign w:val="center"/>
            <w:textDirection w:val="lrTb"/>
            <w:noWrap w:val="false"/>
          </w:tcPr>
          <w:p>
            <w:pPr>
              <w:jc w:val="center"/>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r>
            <w:r/>
          </w:p>
        </w:tc>
        <w:tc>
          <w:tcPr>
            <w:tcW w:w="692" w:type="dxa"/>
            <w:vAlign w:val="center"/>
            <w:textDirection w:val="lrTb"/>
            <w:noWrap w:val="false"/>
          </w:tcPr>
          <w:p>
            <w:pPr>
              <w:jc w:val="center"/>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r>
            <w:r/>
          </w:p>
        </w:tc>
        <w:tc>
          <w:tcPr>
            <w:tcW w:w="1974"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十一</w:t>
            </w:r>
            <w:r/>
          </w:p>
        </w:tc>
        <w:tc>
          <w:tcPr>
            <w:gridSpan w:val="5"/>
            <w:tcW w:w="9673" w:type="dxa"/>
            <w:vAlign w:val="center"/>
            <w:textDirection w:val="lrTb"/>
            <w:noWrap w:val="false"/>
          </w:tcPr>
          <w:p>
            <w:pPr>
              <w:jc w:val="left"/>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t xml:space="preserve"> 声光电定向声波系统工程数量表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11.1</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爆闪灯+定向声波(2组)</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11.2</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重复显示器</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LED显示屏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11.3</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信号灯</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爆闪灯+定向声波(4组)</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11.4</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室外型网络线</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室外六类屏蔽双绞线,据实际量,含水晶头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800</w:t>
            </w:r>
            <w:r/>
          </w:p>
        </w:tc>
        <w:tc>
          <w:tcPr>
            <w:tcW w:w="1974" w:type="dxa"/>
            <w:vAlign w:val="center"/>
            <w:textDirection w:val="lrTb"/>
            <w:noWrap w:val="false"/>
          </w:tcPr>
          <w:p>
            <w:pPr>
              <w:jc w:val="both"/>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11.5</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电源线</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国标RVV2x1.5mm2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800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11.6</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多功能插座</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多功能插座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国标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default" w:ascii="Calibri" w:hAnsi="Calibri" w:eastAsia="宋体" w:cs="Times New Roman"/>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11.7</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系统软件</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系统软件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后端管理平台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11.8</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网络监听音箱</w:t>
            </w:r>
            <w:r/>
          </w:p>
        </w:tc>
        <w:tc>
          <w:tcPr>
            <w:tcW w:w="2427" w:type="dxa"/>
            <w:vAlign w:val="center"/>
            <w:textDirection w:val="lrTb"/>
            <w:noWrap w:val="false"/>
          </w:tcPr>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网络监听音箱</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后端管理平台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Arial" w:cs="Arial"/>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11.9</w:t>
            </w:r>
            <w:r/>
          </w:p>
        </w:tc>
        <w:tc>
          <w:tcPr>
            <w:tcW w:w="4077" w:type="dxa"/>
            <w:vAlign w:val="center"/>
            <w:textDirection w:val="lrTb"/>
            <w:noWrap w:val="false"/>
          </w:tcPr>
          <w:p>
            <w:pPr>
              <w:jc w:val="center"/>
              <w:keepLines w:val="0"/>
              <w:keepNext w:val="0"/>
              <w:widowControl/>
              <w:rPr>
                <w:rFonts w:hint="default"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网络话筒</w:t>
            </w:r>
            <w:r/>
          </w:p>
        </w:tc>
        <w:tc>
          <w:tcPr>
            <w:tcW w:w="2427" w:type="dxa"/>
            <w:vAlign w:val="center"/>
            <w:textDirection w:val="lrTb"/>
            <w:noWrap w:val="false"/>
          </w:tcPr>
          <w:p>
            <w:pPr>
              <w:jc w:val="center"/>
              <w:keepLines w:val="0"/>
              <w:keepNext w:val="0"/>
              <w:widowControl/>
              <w:rPr>
                <w:rFonts w:hint="default"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网络话筒</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后端管理平台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 </w:t>
            </w:r>
            <w:r/>
          </w:p>
        </w:tc>
        <w:tc>
          <w:tcPr>
            <w:tcW w:w="4077" w:type="dxa"/>
            <w:vAlign w:val="center"/>
            <w:textDirection w:val="lrTb"/>
            <w:noWrap w:val="false"/>
          </w:tcPr>
          <w:p>
            <w:pPr>
              <w:rPr>
                <w:rFonts w:hint="eastAsia" w:eastAsia="宋体"/>
                <w:b w:val="0"/>
                <w:bCs w:val="0"/>
                <w:color w:val="000000" w:themeColor="text1"/>
                <w:sz w:val="21"/>
                <w:szCs w:val="21"/>
                <w:highlight w:val="none"/>
                <w:lang w:eastAsia="zh-CN"/>
                <w14:textFill>
                  <w14:solidFill>
                    <w14:schemeClr w14:val="tx1"/>
                  </w14:solidFill>
                </w14:textFill>
              </w:rPr>
            </w:pPr>
            <w:r>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t xml:space="preserve">小计（11）</w:t>
            </w:r>
            <w:r/>
          </w:p>
        </w:tc>
        <w:tc>
          <w:tcPr>
            <w:tcW w:w="2427"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03" w:type="dxa"/>
            <w:vAlign w:val="center"/>
            <w:textDirection w:val="lrTb"/>
            <w:noWrap w:val="false"/>
          </w:tcPr>
          <w:p>
            <w:pPr>
              <w:ind w:right="-105"/>
              <w:jc w:val="center"/>
              <w:spacing w:line="3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92"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974"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十二</w:t>
            </w:r>
            <w:r/>
          </w:p>
        </w:tc>
        <w:tc>
          <w:tcPr>
            <w:gridSpan w:val="5"/>
            <w:tcW w:w="9673" w:type="dxa"/>
            <w:vAlign w:val="center"/>
            <w:textDirection w:val="lrTb"/>
            <w:noWrap w:val="false"/>
          </w:tcPr>
          <w:p>
            <w:pPr>
              <w:jc w:val="left"/>
              <w:rPr>
                <w:rFonts w:hint="eastAsia"/>
                <w:b w:val="0"/>
                <w:bCs w:val="0"/>
                <w:color w:val="000000" w:themeColor="text1"/>
                <w:sz w:val="21"/>
                <w:szCs w:val="21"/>
                <w:highlight w:val="none"/>
                <w14:textFill>
                  <w14:solidFill>
                    <w14:schemeClr w14:val="tx1"/>
                  </w14:solidFill>
                </w14:textFill>
              </w:rPr>
            </w:pPr>
            <w:r>
              <w:rPr>
                <w:rFonts w:hint="eastAsia" w:eastAsia="宋体"/>
                <w:b w:val="0"/>
                <w:bCs w:val="0"/>
                <w:color w:val="000000" w:themeColor="text1"/>
                <w:sz w:val="21"/>
                <w:szCs w:val="21"/>
                <w:highlight w:val="none"/>
                <w:lang w:eastAsia="zh-CN"/>
                <w14:textFill>
                  <w14:solidFill>
                    <w14:schemeClr w14:val="tx1"/>
                  </w14:solidFill>
                </w14:textFill>
              </w:rPr>
              <w:t xml:space="preserve"> 行人过街预警系统</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12.1</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无线太阳能道钉</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无线太阳能道钉</w:t>
            </w:r>
            <w:r/>
          </w:p>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具体参数、做法详见图纸设计及采购需求</w:t>
            </w:r>
            <w:r/>
          </w:p>
        </w:tc>
        <w:tc>
          <w:tcPr>
            <w:tcW w:w="503"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154</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r>
            <w:r/>
          </w:p>
        </w:tc>
        <w:tc>
          <w:tcPr>
            <w:tcW w:w="4077" w:type="dxa"/>
            <w:vAlign w:val="center"/>
            <w:textDirection w:val="lrTb"/>
            <w:noWrap w:val="false"/>
          </w:tcPr>
          <w:p>
            <w:pPr>
              <w:rPr>
                <w:rFonts w:hint="eastAsia"/>
                <w:b w:val="0"/>
                <w:bCs w:val="0"/>
                <w:color w:val="000000" w:themeColor="text1"/>
                <w:sz w:val="21"/>
                <w:szCs w:val="21"/>
                <w:highlight w:val="none"/>
                <w14:textFill>
                  <w14:solidFill>
                    <w14:schemeClr w14:val="tx1"/>
                  </w14:solidFill>
                </w14:textFill>
              </w:rPr>
            </w:pPr>
            <w:r>
              <w:rPr>
                <w:rFonts w:hint="eastAsia" w:cs="Tahoma"/>
                <w:b w:val="0"/>
                <w:bCs w:val="0"/>
                <w:color w:val="000000" w:themeColor="text1"/>
                <w:sz w:val="21"/>
                <w:szCs w:val="21"/>
                <w:highlight w:val="none"/>
                <w:lang w:val="en-US" w:eastAsia="zh-CN"/>
                <w14:textFill>
                  <w14:solidFill>
                    <w14:schemeClr w14:val="tx1"/>
                  </w14:solidFill>
                </w14:textFill>
              </w:rPr>
              <w:t xml:space="preserve">小计（12）</w:t>
            </w:r>
            <w:r/>
          </w:p>
        </w:tc>
        <w:tc>
          <w:tcPr>
            <w:tcW w:w="2427"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03" w:type="dxa"/>
            <w:vAlign w:val="center"/>
            <w:textDirection w:val="lrTb"/>
            <w:noWrap w:val="false"/>
          </w:tcPr>
          <w:p>
            <w:pPr>
              <w:ind w:right="-105"/>
              <w:jc w:val="center"/>
              <w:spacing w:line="3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692"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974"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b w:val="0"/>
                <w:bCs w:val="0"/>
                <w:color w:val="000000" w:themeColor="text1"/>
                <w:sz w:val="21"/>
                <w:szCs w:val="21"/>
                <w:highlight w:val="none"/>
                <w:lang w:val="en-US" w:eastAsia="zh-CN" w:bidi="ar-SA"/>
                <w14:textFill>
                  <w14:solidFill>
                    <w14:schemeClr w14:val="tx1"/>
                  </w14:solidFill>
                </w14:textFill>
              </w:rPr>
              <w:t xml:space="preserve">十三</w:t>
            </w:r>
            <w:r/>
          </w:p>
        </w:tc>
        <w:tc>
          <w:tcPr>
            <w:gridSpan w:val="5"/>
            <w:tcW w:w="9673" w:type="dxa"/>
            <w:vAlign w:val="center"/>
            <w:textDirection w:val="lrTb"/>
            <w:noWrap w:val="false"/>
          </w:tcPr>
          <w:p>
            <w:pPr>
              <w:jc w:val="left"/>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t xml:space="preserve"> 金湖县水利局路口隐患工程数量表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13.1</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减速让行标志</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减速让行标志▽700及基础（开挖、回填、C30砼、模板、杆件、标志板、灯具、按钮、基础笼等）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单柱式</w:t>
            </w:r>
            <w:r/>
          </w:p>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eastAsia="宋体" w:cs="Times New Roman"/>
                <w:b w:val="0"/>
                <w:bCs w:val="0"/>
                <w:color w:val="000000" w:themeColor="text1"/>
                <w:sz w:val="21"/>
                <w:szCs w:val="21"/>
                <w:highlight w:val="none"/>
                <w:lang w:val="en-US" w:eastAsia="zh-CN" w:bidi="ar-SA"/>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13.2</w:t>
            </w:r>
            <w:r/>
          </w:p>
        </w:tc>
        <w:tc>
          <w:tcPr>
            <w:tcW w:w="4077" w:type="dxa"/>
            <w:vAlign w:val="center"/>
            <w:textDirection w:val="lrTb"/>
            <w:noWrap w:val="false"/>
          </w:tcPr>
          <w:p>
            <w:pPr>
              <w:jc w:val="center"/>
              <w:keepLines w:val="0"/>
              <w:keepNext w:val="0"/>
              <w:widowControl/>
              <w:rPr>
                <w:rFonts w:hint="eastAsia" w:ascii="Calibri" w:hAnsi="Calibri" w:eastAsia="宋体" w:cs="Tahoma"/>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前方路口提示标志</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前方路口提示标志及基础（开挖、回填、C30砼、模板、杆件、标志板、灯具、按钮、基础笼等）</w:t>
            </w:r>
            <w:r/>
          </w:p>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单柱式</w:t>
            </w:r>
            <w:r/>
          </w:p>
          <w:p>
            <w:pPr>
              <w:jc w:val="center"/>
              <w:keepLines w:val="0"/>
              <w:keepNext w:val="0"/>
              <w:widowControl/>
              <w:rPr>
                <w:rFonts w:hint="eastAsia" w:ascii="Calibri" w:hAnsi="Calibri" w:eastAsia="宋体" w:cs="Tahoma"/>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default" w:ascii="Calibri" w:hAnsi="Calibri" w:eastAsia="宋体" w:cs="Times New Roman"/>
                <w:b w:val="0"/>
                <w:bCs w:val="0"/>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center"/>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13.3</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太阳能爆闪灯</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太阳能爆闪灯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附着式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default"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13.4</w:t>
            </w:r>
            <w:r/>
          </w:p>
        </w:tc>
        <w:tc>
          <w:tcPr>
            <w:tcW w:w="40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w:t>
            </w:r>
            <w:r/>
          </w:p>
        </w:tc>
        <w:tc>
          <w:tcPr>
            <w:tcW w:w="242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震动标线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tcW w:w="6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w:t>
            </w:r>
            <w:r/>
          </w:p>
        </w:tc>
        <w:tc>
          <w:tcPr>
            <w:tcW w:w="1974" w:type="dxa"/>
            <w:vAlign w:val="center"/>
            <w:textDirection w:val="lrTb"/>
            <w:noWrap w:val="false"/>
          </w:tcPr>
          <w:p>
            <w:pPr>
              <w:jc w:val="both"/>
              <w:rPr>
                <w:rFonts w:hint="default" w:eastAsia="宋体"/>
                <w:b w:val="0"/>
                <w:bCs w:val="0"/>
                <w:color w:val="000000" w:themeColor="text1"/>
                <w:sz w:val="21"/>
                <w:szCs w:val="21"/>
                <w:highlight w:val="none"/>
                <w:lang w:val="en-US" w:eastAsia="zh-CN"/>
                <w14:textFill>
                  <w14:solidFill>
                    <w14:schemeClr w14:val="tx1"/>
                  </w14:solidFill>
                </w14:textFill>
              </w:rPr>
            </w:pPr>
            <w:r>
              <w:rPr>
                <w:rFonts w:hint="default" w:eastAsia="宋体"/>
                <w:b w:val="0"/>
                <w:bCs w:val="0"/>
                <w:color w:val="000000" w:themeColor="text1"/>
                <w:sz w:val="21"/>
                <w:szCs w:val="21"/>
                <w:highlight w:val="none"/>
                <w:lang w:val="en-US" w:eastAsia="zh-CN"/>
                <w14:textFill>
                  <w14:solidFill>
                    <w14:schemeClr w14:val="tx1"/>
                  </w14:solidFill>
                </w14:textFill>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b w:val="0"/>
                <w:bCs w:val="0"/>
                <w:color w:val="000000" w:themeColor="text1"/>
                <w:sz w:val="21"/>
                <w:szCs w:val="21"/>
                <w:highlight w:val="none"/>
                <w:lang w:val="en-US" w:eastAsia="zh-CN"/>
                <w14:textFill>
                  <w14:solidFill>
                    <w14:schemeClr w14:val="tx1"/>
                  </w14:solidFill>
                </w14:textFill>
              </w:rPr>
            </w:pPr>
            <w:r>
              <w:rPr>
                <w:rFonts w:hint="eastAsia" w:ascii="宋体" w:hAnsi="宋体"/>
                <w:b w:val="0"/>
                <w:bCs w:val="0"/>
                <w:color w:val="000000" w:themeColor="text1"/>
                <w:sz w:val="21"/>
                <w:szCs w:val="21"/>
                <w:highlight w:val="none"/>
                <w:lang w:val="en-US" w:eastAsia="zh-CN"/>
                <w14:textFill>
                  <w14:solidFill>
                    <w14:schemeClr w14:val="tx1"/>
                  </w14:solidFill>
                </w14:textFill>
              </w:rPr>
              <w:t xml:space="preserve">13.5</w:t>
            </w:r>
            <w:r/>
          </w:p>
        </w:tc>
        <w:tc>
          <w:tcPr>
            <w:tcW w:w="4077" w:type="dxa"/>
            <w:vAlign w:val="center"/>
            <w:textDirection w:val="lrTb"/>
            <w:noWrap w:val="false"/>
          </w:tcPr>
          <w:p>
            <w:pPr>
              <w:jc w:val="center"/>
              <w:keepLines w:val="0"/>
              <w:keepNext w:val="0"/>
              <w:widowControl/>
              <w:rPr>
                <w:rFonts w:hint="default" w:cs="Tahom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标线</w:t>
            </w:r>
            <w:r/>
          </w:p>
        </w:tc>
        <w:tc>
          <w:tcPr>
            <w:tcW w:w="2427" w:type="dxa"/>
            <w:vAlign w:val="center"/>
            <w:textDirection w:val="lrTb"/>
            <w:noWrap w:val="false"/>
          </w:tcPr>
          <w:p>
            <w:pPr>
              <w:jc w:val="center"/>
              <w:keepLines w:val="0"/>
              <w:keepNext w:val="0"/>
              <w:widowControl/>
              <w:rPr>
                <w:rFonts w:hint="eastAsia" w:cs="Tahoma"/>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减速让行标线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具体做法详见图纸设计及采购需求</w:t>
            </w:r>
            <w:r/>
          </w:p>
        </w:tc>
        <w:tc>
          <w:tcPr>
            <w:tcW w:w="503" w:type="dxa"/>
            <w:vAlign w:val="center"/>
            <w:textDirection w:val="lrTb"/>
            <w:noWrap w:val="false"/>
          </w:tcPr>
          <w:p>
            <w:pPr>
              <w:jc w:val="center"/>
              <w:keepLines w:val="0"/>
              <w:keepNext w:val="0"/>
              <w:widowControl/>
              <w:rPr>
                <w:rFonts w:hint="eastAsi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tcW w:w="692" w:type="dxa"/>
            <w:vAlign w:val="center"/>
            <w:textDirection w:val="lrTb"/>
            <w:noWrap w:val="false"/>
          </w:tcPr>
          <w:p>
            <w:pPr>
              <w:jc w:val="center"/>
              <w:keepLines w:val="0"/>
              <w:keepNext w:val="0"/>
              <w:widowControl/>
              <w:rPr>
                <w:rFonts w:hint="eastAsia"/>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tcW w:w="1974" w:type="dxa"/>
            <w:vAlign w:val="center"/>
            <w:textDirection w:val="lrTb"/>
            <w:noWrap w:val="false"/>
          </w:tcPr>
          <w:p>
            <w:pPr>
              <w:jc w:val="both"/>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r>
            <w:r/>
          </w:p>
        </w:tc>
      </w:tr>
      <w:tr>
        <w:trPr>
          <w:trHeight w:val="526"/>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14:textFill>
                  <w14:solidFill>
                    <w14:schemeClr w14:val="tx1"/>
                  </w14:solidFill>
                </w14:textFill>
              </w:rPr>
            </w:r>
            <w:r/>
          </w:p>
        </w:tc>
        <w:tc>
          <w:tcPr>
            <w:tcW w:w="4077" w:type="dxa"/>
            <w:vAlign w:val="center"/>
            <w:textDirection w:val="lrTb"/>
            <w:noWrap w:val="false"/>
          </w:tcPr>
          <w:p>
            <w:pP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cs="Tahoma"/>
                <w:b w:val="0"/>
                <w:bCs w:val="0"/>
                <w:color w:val="000000" w:themeColor="text1"/>
                <w:sz w:val="21"/>
                <w:szCs w:val="21"/>
                <w:highlight w:val="none"/>
                <w:lang w:val="en-US" w:eastAsia="zh-CN"/>
                <w14:textFill>
                  <w14:solidFill>
                    <w14:schemeClr w14:val="tx1"/>
                  </w14:solidFill>
                </w14:textFill>
              </w:rPr>
              <w:t xml:space="preserve">小计（13）</w:t>
            </w:r>
            <w:r/>
          </w:p>
        </w:tc>
        <w:tc>
          <w:tcPr>
            <w:tcW w:w="2427"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503" w:type="dxa"/>
            <w:vAlign w:val="center"/>
            <w:textDirection w:val="lrTb"/>
            <w:noWrap w:val="false"/>
          </w:tcPr>
          <w:p>
            <w:pPr>
              <w:ind w:right="-105"/>
              <w:jc w:val="center"/>
              <w:spacing w:line="34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692"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974"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26"/>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14</w:t>
            </w:r>
            <w:r/>
          </w:p>
        </w:tc>
        <w:tc>
          <w:tcPr>
            <w:tcW w:w="4077" w:type="dxa"/>
            <w:vAlign w:val="center"/>
            <w:textDirection w:val="lrTb"/>
            <w:noWrap w:val="false"/>
          </w:tcPr>
          <w:p>
            <w:pP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工程税金</w:t>
            </w:r>
            <w:r/>
          </w:p>
        </w:tc>
        <w:tc>
          <w:tcPr>
            <w:tcW w:w="2427"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503" w:type="dxa"/>
            <w:vAlign w:val="center"/>
            <w:textDirection w:val="lrTb"/>
            <w:noWrap w:val="false"/>
          </w:tcPr>
          <w:p>
            <w:pPr>
              <w:ind w:right="-105"/>
              <w:jc w:val="center"/>
              <w:spacing w:line="34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692"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974"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26"/>
        </w:trPr>
        <w:tc>
          <w:tcPr>
            <w:tcW w:w="879" w:type="dxa"/>
            <w:vAlign w:val="center"/>
            <w:textDirection w:val="lrTb"/>
            <w:noWrap w:val="false"/>
          </w:tcPr>
          <w:p>
            <w:pPr>
              <w:jc w:val="center"/>
              <w:spacing w:line="340" w:lineRule="exact"/>
              <w:tabs>
                <w:tab w:val="left" w:pos="420" w:leader="none"/>
              </w:tabs>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15</w:t>
            </w:r>
            <w:r/>
          </w:p>
        </w:tc>
        <w:tc>
          <w:tcPr>
            <w:tcW w:w="4077" w:type="dxa"/>
            <w:vAlign w:val="center"/>
            <w:textDirection w:val="lrTb"/>
            <w:noWrap w:val="false"/>
          </w:tcPr>
          <w:p>
            <w:pP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项目总计</w:t>
            </w:r>
            <w:r/>
          </w:p>
        </w:tc>
        <w:tc>
          <w:tcPr>
            <w:tcW w:w="2427"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503" w:type="dxa"/>
            <w:vAlign w:val="center"/>
            <w:textDirection w:val="lrTb"/>
            <w:noWrap w:val="false"/>
          </w:tcPr>
          <w:p>
            <w:pPr>
              <w:ind w:right="-105"/>
              <w:jc w:val="center"/>
              <w:spacing w:line="34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692"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974"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备注：（1）上述清单中涉及“杆件及基础 ”相关内容，均包括完成该杆件竖立起来所必须完成的工序各环节，包括基坑开挖、钢筋笼加工制作、C30浇筑、各类连接螺栓螺帽、</w:t>
      </w:r>
      <w:r>
        <w:rPr>
          <w:rFonts w:hint="eastAsia" w:ascii="宋体" w:hAnsi="宋体" w:eastAsia="宋体" w:cs="宋体"/>
          <w:color w:val="auto"/>
          <w:sz w:val="24"/>
          <w:szCs w:val="24"/>
          <w:highlight w:val="none"/>
          <w:lang w:eastAsia="zh-CN"/>
        </w:rPr>
        <w:t xml:space="preserve">基坑、钢筋笼</w:t>
      </w:r>
      <w:r>
        <w:rPr>
          <w:rFonts w:hint="eastAsia" w:ascii="宋体" w:hAnsi="宋体" w:eastAsia="宋体" w:cs="宋体"/>
          <w:color w:val="auto"/>
          <w:sz w:val="24"/>
          <w:szCs w:val="24"/>
          <w:lang w:eastAsia="zh-CN"/>
        </w:rPr>
        <w:t xml:space="preserve">等安装辅材所必需的全部内容，需合理测算，综合报价！</w:t>
      </w:r>
      <w:r/>
    </w:p>
    <w:p>
      <w:pPr>
        <w:pStyle w:val="1096"/>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（2)上述清单中涉及“标志牌”之“单柱式安装”，均以成套建成后的综合价格为综合单价，包括标志牌、单立柱、基础、钢筋笼、抱箍及配套的连接螺栓螺帽</w:t>
      </w:r>
      <w:r>
        <w:rPr>
          <w:rFonts w:hint="eastAsia" w:ascii="宋体" w:hAnsi="宋体" w:eastAsia="宋体" w:cs="宋体"/>
          <w:color w:val="auto"/>
          <w:sz w:val="24"/>
          <w:szCs w:val="24"/>
          <w:highlight w:val="none"/>
          <w:lang w:eastAsia="zh-CN"/>
        </w:rPr>
        <w:t xml:space="preserve">、基坑、钢筋笼</w:t>
      </w:r>
      <w:r>
        <w:rPr>
          <w:rFonts w:hint="eastAsia" w:ascii="宋体" w:hAnsi="宋体" w:eastAsia="宋体" w:cs="宋体"/>
          <w:color w:val="auto"/>
          <w:sz w:val="24"/>
          <w:szCs w:val="24"/>
          <w:lang w:eastAsia="zh-CN"/>
        </w:rPr>
        <w:t xml:space="preserve">等各类安装连接附件。</w:t>
      </w:r>
      <w:r/>
    </w:p>
    <w:p>
      <w:pPr>
        <w:pStyle w:val="1096"/>
        <w:numPr>
          <w:ilvl w:val="0"/>
          <w:numId w:val="0"/>
        </w:numPr>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auto"/>
          <w:sz w:val="24"/>
          <w:szCs w:val="24"/>
          <w:lang w:eastAsia="zh-CN"/>
        </w:rPr>
        <w:t xml:space="preserve">（3)上述清单中涉及各子项均为安装完成满足交付条件的综合计价。</w:t>
      </w:r>
      <w:r/>
    </w:p>
    <w:p>
      <w:pPr>
        <w:pStyle w:val="1096"/>
        <w:numPr>
          <w:ilvl w:val="0"/>
          <w:numId w:val="0"/>
        </w:numP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（4)本项目为货物采购项目。</w:t>
      </w:r>
      <w:r/>
    </w:p>
    <w:p>
      <w:pPr>
        <w:pStyle w:val="1096"/>
        <w:numPr>
          <w:ilvl w:val="0"/>
          <w:numId w:val="0"/>
        </w:numPr>
        <w:keepLines w:val="0"/>
        <w:keepNext w:val="0"/>
        <w:pageBreakBefore w:val="0"/>
        <w:spacing w:line="360" w:lineRule="auto"/>
        <w:widowControl w:val="off"/>
        <w:rPr>
          <w:rFonts w:hint="eastAsia" w:ascii="宋体" w:hAnsi="宋体" w:eastAsia="宋体" w:cs="宋体"/>
          <w:b/>
          <w:bCs/>
          <w:spacing w:val="-2"/>
          <w:sz w:val="24"/>
          <w:szCs w:val="24"/>
          <w:lang w:val="en-US" w:eastAsia="zh-CN"/>
        </w:rPr>
      </w:pPr>
      <w:r>
        <w:rPr>
          <w:rFonts w:hint="eastAsia" w:ascii="宋体" w:hAnsi="宋体" w:eastAsia="宋体" w:cs="宋体"/>
          <w:b/>
          <w:bCs/>
          <w:spacing w:val="-2"/>
          <w:sz w:val="24"/>
          <w:szCs w:val="24"/>
          <w:lang w:val="en-US" w:eastAsia="zh-CN"/>
        </w:rPr>
        <w:t xml:space="preserve">本项目核心产品为：900万电警抓拍单元</w:t>
      </w:r>
      <w:r/>
    </w:p>
    <w:p>
      <w:r>
        <w:rPr>
          <w:rFonts w:hint="eastAsia" w:ascii="宋体" w:hAnsi="宋体" w:eastAsia="宋体" w:cs="宋体"/>
          <w:b/>
          <w:bCs/>
          <w:color w:val="ff0000"/>
          <w:sz w:val="24"/>
          <w:szCs w:val="24"/>
          <w:lang w:val="en-US" w:eastAsia="zh-CN"/>
        </w:rPr>
        <w:t xml:space="preserve">本章</w:t>
      </w:r>
      <w:r>
        <w:rPr>
          <w:rFonts w:hint="eastAsia" w:ascii="宋体" w:hAnsi="宋体" w:eastAsia="宋体" w:cs="宋体"/>
          <w:b/>
          <w:bCs/>
          <w:color w:val="ff0000"/>
          <w:sz w:val="24"/>
          <w:szCs w:val="24"/>
        </w:rPr>
        <w:t xml:space="preserve">加“★”项为实质性条款不接受负偏离，</w:t>
      </w:r>
      <w:r>
        <w:rPr>
          <w:rFonts w:hint="eastAsia" w:ascii="宋体" w:hAnsi="宋体" w:eastAsia="宋体" w:cs="宋体"/>
          <w:b/>
          <w:bCs/>
          <w:color w:val="ff0000"/>
          <w:sz w:val="24"/>
          <w:szCs w:val="24"/>
          <w:lang w:eastAsia="zh-CN"/>
        </w:rPr>
        <w:t xml:space="preserve">允许正偏离</w:t>
      </w:r>
      <w:r>
        <w:rPr>
          <w:rFonts w:hint="eastAsia" w:ascii="宋体" w:hAnsi="宋体" w:cs="宋体"/>
          <w:b/>
          <w:bCs/>
          <w:color w:val="ff0000"/>
          <w:sz w:val="24"/>
          <w:szCs w:val="24"/>
          <w:lang w:eastAsia="zh-CN"/>
        </w:rPr>
        <w:t xml:space="preserve">。</w:t>
      </w:r>
      <w:r>
        <w:rPr>
          <w:rFonts w:hint="eastAsia" w:ascii="宋体" w:hAnsi="宋体" w:eastAsia="宋体" w:cs="宋体"/>
          <w:b/>
          <w:bCs/>
          <w:color w:val="ff0000"/>
          <w:sz w:val="24"/>
          <w:szCs w:val="24"/>
        </w:rPr>
        <w:t xml:space="preserve">不响应</w:t>
      </w:r>
      <w:r>
        <w:rPr>
          <w:rFonts w:hint="eastAsia" w:ascii="宋体" w:hAnsi="宋体" w:cs="宋体"/>
          <w:b/>
          <w:bCs/>
          <w:color w:val="ff0000"/>
          <w:sz w:val="24"/>
          <w:szCs w:val="24"/>
          <w:lang w:eastAsia="zh-CN"/>
        </w:rPr>
        <w:t xml:space="preserve">不提供</w:t>
      </w:r>
      <w:r>
        <w:rPr>
          <w:rFonts w:hint="eastAsia" w:ascii="宋体" w:hAnsi="宋体" w:eastAsia="宋体" w:cs="宋体"/>
          <w:b/>
          <w:bCs/>
          <w:color w:val="ff0000"/>
          <w:sz w:val="24"/>
          <w:szCs w:val="24"/>
        </w:rPr>
        <w:t xml:space="preserve">作无效标处理</w:t>
      </w:r>
      <w:r>
        <w:rPr>
          <w:rFonts w:hint="eastAsia" w:ascii="宋体" w:hAnsi="宋体" w:eastAsia="宋体" w:cs="宋体"/>
          <w:b/>
          <w:bCs/>
          <w:color w:val="ff0000"/>
          <w:sz w:val="24"/>
          <w:szCs w:val="24"/>
          <w:lang w:eastAsia="zh-CN"/>
        </w:rPr>
        <w:t xml:space="preserve">。</w:t>
      </w:r>
      <w:r/>
    </w:p>
    <w:p>
      <w:pPr>
        <w:spacing w:line="499" w:lineRule="atLeast"/>
        <w:rPr>
          <w:rFonts w:hint="eastAsia" w:ascii="宋体" w:hAnsi="宋体" w:eastAsia="宋体" w:cs="宋体"/>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rPr>
        <w:br w:type="page" w:clear="all"/>
      </w:r>
      <w:r/>
    </w:p>
    <w:p>
      <w:pPr>
        <w:pStyle w:val="817"/>
        <w:numPr>
          <w:ilvl w:val="0"/>
          <w:numId w:val="0"/>
        </w:numPr>
        <w:jc w:val="center"/>
        <w:keepNext w:val="0"/>
        <w:pageBreakBefore w:val="0"/>
        <w:spacing w:line="360" w:lineRule="auto"/>
        <w:rPr>
          <w:rFonts w:hint="eastAsia" w:ascii="宋体" w:hAnsi="宋体" w:eastAsia="宋体" w:cs="宋体"/>
          <w:b/>
          <w:bCs w:val="0"/>
          <w:color w:val="auto"/>
          <w:sz w:val="44"/>
          <w:szCs w:val="44"/>
        </w:rPr>
      </w:pPr>
      <w:r>
        <w:rPr>
          <w:rFonts w:hint="eastAsia" w:ascii="宋体" w:hAnsi="宋体" w:eastAsia="宋体" w:cs="宋体"/>
          <w:b/>
          <w:bCs w:val="0"/>
          <w:color w:val="auto"/>
          <w:sz w:val="32"/>
          <w:szCs w:val="32"/>
        </w:rPr>
        <w:t xml:space="preserve">第六章  </w:t>
      </w:r>
      <w:r>
        <w:rPr>
          <w:rFonts w:hint="eastAsia" w:ascii="宋体" w:hAnsi="宋体" w:eastAsia="宋体" w:cs="宋体"/>
          <w:b/>
          <w:bCs w:val="0"/>
          <w:color w:val="auto"/>
          <w:sz w:val="32"/>
          <w:szCs w:val="32"/>
          <w:lang w:eastAsia="zh-CN"/>
        </w:rPr>
        <w:t xml:space="preserve">投标文件</w:t>
      </w:r>
      <w:r>
        <w:rPr>
          <w:rFonts w:hint="eastAsia" w:ascii="宋体" w:hAnsi="宋体" w:eastAsia="宋体" w:cs="宋体"/>
          <w:b/>
          <w:bCs w:val="0"/>
          <w:color w:val="auto"/>
          <w:sz w:val="32"/>
          <w:szCs w:val="32"/>
        </w:rPr>
        <w:t xml:space="preserve">的组成和格式</w:t>
      </w:r>
      <w:bookmarkEnd w:id="10"/>
      <w:r/>
      <w:bookmarkStart w:id="12" w:name="_Toc5709_WPSOffice_Level1"/>
      <w:r/>
      <w:r/>
    </w:p>
    <w:p>
      <w:pPr>
        <w:pStyle w:val="1010"/>
        <w:jc w:val="right"/>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1010"/>
        <w:jc w:val="right"/>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32"/>
          <w:szCs w:val="32"/>
        </w:rPr>
        <w:t xml:space="preserve">【正/副本】</w:t>
      </w:r>
      <w:bookmarkEnd w:id="12"/>
      <w:r/>
      <w:r/>
    </w:p>
    <w:p>
      <w:pPr>
        <w:pStyle w:val="1010"/>
        <w:jc w:val="center"/>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1010"/>
        <w:jc w:val="center"/>
        <w:keepNext w:val="0"/>
        <w:pageBreakBefore w:val="0"/>
        <w:spacing w:line="360" w:lineRule="auto"/>
        <w:rPr>
          <w:rFonts w:hint="eastAsia" w:ascii="宋体" w:hAnsi="宋体" w:eastAsia="宋体" w:cs="宋体"/>
          <w:color w:val="auto"/>
          <w:sz w:val="44"/>
          <w:szCs w:val="44"/>
        </w:rPr>
      </w:pPr>
      <w:r>
        <w:rPr>
          <w:rFonts w:hint="eastAsia" w:hAnsi="宋体" w:cs="宋体"/>
          <w:b/>
          <w:color w:val="auto"/>
          <w:sz w:val="56"/>
          <w:szCs w:val="56"/>
          <w:lang w:val="en-US" w:eastAsia="zh-CN" w:bidi="ar-SA"/>
        </w:rPr>
        <w:t xml:space="preserve">投 标 </w:t>
      </w:r>
      <w:r>
        <w:rPr>
          <w:rFonts w:hint="eastAsia" w:ascii="宋体" w:hAnsi="宋体" w:eastAsia="宋体" w:cs="宋体"/>
          <w:b/>
          <w:color w:val="auto"/>
          <w:sz w:val="56"/>
          <w:szCs w:val="56"/>
          <w:lang w:val="en-US" w:eastAsia="zh-CN" w:bidi="ar-SA"/>
        </w:rPr>
        <w:t xml:space="preserve">文 件</w:t>
      </w:r>
      <w:r/>
    </w:p>
    <w:p>
      <w:pPr>
        <w:pStyle w:val="1010"/>
        <w:ind w:firstLine="3080"/>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1010"/>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1010"/>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ind w:firstLine="1446"/>
        <w:keepNext w:val="0"/>
        <w:pageBreakBefore w:val="0"/>
        <w:spacing w:line="360" w:lineRule="auto"/>
        <w:rPr>
          <w:rFonts w:hint="eastAsia" w:ascii="宋体" w:hAnsi="宋体" w:eastAsia="宋体" w:cs="宋体"/>
          <w:b/>
          <w:bCs/>
          <w:color w:val="auto"/>
          <w:sz w:val="36"/>
        </w:rPr>
      </w:pPr>
      <w:r/>
      <w:bookmarkStart w:id="13" w:name="_Toc3730_WPSOffice_Level1"/>
      <w:r/>
      <w:r/>
    </w:p>
    <w:p>
      <w:pPr>
        <w:ind w:firstLine="1446"/>
        <w:keepNext w:val="0"/>
        <w:pageBreakBefore w:val="0"/>
        <w:spacing w:line="360" w:lineRule="auto"/>
        <w:rPr>
          <w:rFonts w:hint="eastAsia" w:ascii="宋体" w:hAnsi="宋体" w:eastAsia="宋体" w:cs="宋体"/>
          <w:b/>
          <w:bCs/>
          <w:color w:val="auto"/>
          <w:sz w:val="36"/>
          <w:lang w:eastAsia="zh-CN"/>
        </w:rPr>
      </w:pPr>
      <w:r>
        <w:rPr>
          <w:rFonts w:hint="eastAsia" w:ascii="宋体" w:hAnsi="宋体" w:eastAsia="宋体" w:cs="宋体"/>
          <w:b/>
          <w:bCs/>
          <w:color w:val="auto"/>
          <w:sz w:val="36"/>
        </w:rPr>
        <w:t xml:space="preserve">项目名称</w:t>
      </w:r>
      <w:bookmarkEnd w:id="13"/>
      <w:r>
        <w:rPr>
          <w:rFonts w:hint="eastAsia" w:ascii="宋体" w:hAnsi="宋体" w:cs="宋体"/>
          <w:b/>
          <w:bCs/>
          <w:color w:val="auto"/>
          <w:sz w:val="36"/>
          <w:lang w:eastAsia="zh-CN"/>
        </w:rPr>
        <w:t xml:space="preserve">：</w:t>
      </w:r>
      <w:r/>
    </w:p>
    <w:p>
      <w:pPr>
        <w:pStyle w:val="1010"/>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1010"/>
        <w:ind w:firstLine="1428"/>
        <w:keepNext w:val="0"/>
        <w:pageBreakBefore w:val="0"/>
        <w:spacing w:line="360" w:lineRule="auto"/>
        <w:rPr>
          <w:rFonts w:hint="eastAsia" w:ascii="宋体" w:hAnsi="宋体" w:eastAsia="宋体" w:cs="宋体"/>
          <w:b/>
          <w:color w:val="auto"/>
          <w:sz w:val="36"/>
          <w:szCs w:val="24"/>
          <w:lang w:eastAsia="zh-CN"/>
        </w:rPr>
      </w:pPr>
      <w:r/>
      <w:bookmarkStart w:id="14" w:name="_Toc12183_WPSOffice_Level1"/>
      <w:r>
        <w:rPr>
          <w:rFonts w:hint="eastAsia" w:ascii="宋体" w:hAnsi="宋体" w:eastAsia="宋体" w:cs="宋体"/>
          <w:b/>
          <w:color w:val="auto"/>
          <w:sz w:val="36"/>
          <w:szCs w:val="24"/>
        </w:rPr>
        <w:t xml:space="preserve">项目编号</w:t>
      </w:r>
      <w:bookmarkEnd w:id="14"/>
      <w:r>
        <w:rPr>
          <w:rFonts w:hint="eastAsia" w:hAnsi="宋体" w:cs="宋体"/>
          <w:b/>
          <w:color w:val="auto"/>
          <w:sz w:val="36"/>
          <w:szCs w:val="24"/>
          <w:lang w:eastAsia="zh-CN"/>
        </w:rPr>
        <w:t xml:space="preserve">：</w:t>
      </w:r>
      <w:r/>
    </w:p>
    <w:p>
      <w:pPr>
        <w:ind w:firstLine="1428"/>
        <w:keepNext w:val="0"/>
        <w:pageBreakBefore w:val="0"/>
        <w:spacing w:line="360" w:lineRule="auto"/>
        <w:rPr>
          <w:rFonts w:hint="eastAsia" w:ascii="宋体" w:hAnsi="宋体" w:eastAsia="宋体" w:cs="宋体"/>
          <w:b/>
          <w:bCs/>
          <w:color w:val="auto"/>
          <w:sz w:val="36"/>
        </w:rPr>
      </w:pPr>
      <w:r/>
      <w:bookmarkStart w:id="15" w:name="_Toc5759_WPSOffice_Level1"/>
      <w:r/>
      <w:bookmarkEnd w:id="15"/>
      <w:r/>
      <w:r/>
    </w:p>
    <w:p>
      <w:pPr>
        <w:ind w:firstLine="1428"/>
        <w:keepNext w:val="0"/>
        <w:pageBreakBefore w:val="0"/>
        <w:spacing w:line="360" w:lineRule="auto"/>
        <w:rPr>
          <w:rFonts w:hint="eastAsia" w:ascii="宋体" w:hAnsi="宋体" w:eastAsia="宋体" w:cs="宋体"/>
          <w:b/>
          <w:bCs/>
          <w:color w:val="auto"/>
          <w:sz w:val="32"/>
          <w:lang w:eastAsia="zh-CN"/>
        </w:rPr>
      </w:pPr>
      <w:r>
        <w:rPr>
          <w:rFonts w:hint="eastAsia" w:ascii="宋体" w:hAnsi="宋体" w:cs="宋体"/>
          <w:b/>
          <w:bCs/>
          <w:color w:val="auto"/>
          <w:sz w:val="36"/>
          <w:lang w:eastAsia="zh-CN"/>
        </w:rPr>
        <w:t xml:space="preserve">投标人：</w:t>
      </w:r>
      <w:r/>
    </w:p>
    <w:p>
      <w:pPr>
        <w:pStyle w:val="1010"/>
        <w:ind w:firstLine="1904"/>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1010"/>
        <w:ind w:firstLine="1904"/>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1010"/>
        <w:ind w:firstLine="1904"/>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1010"/>
        <w:ind w:firstLine="3975"/>
        <w:keepNext w:val="0"/>
        <w:pageBreakBefore w:val="0"/>
        <w:spacing w:line="360" w:lineRule="auto"/>
        <w:rPr>
          <w:rFonts w:hint="eastAsia" w:ascii="宋体" w:hAnsi="宋体" w:cs="宋体"/>
          <w:color w:val="auto"/>
          <w:sz w:val="24"/>
        </w:rPr>
      </w:pPr>
      <w:r/>
      <w:bookmarkStart w:id="16" w:name="_Toc3474_WPSOffice_Level1"/>
      <w:r>
        <w:rPr>
          <w:rFonts w:hint="eastAsia" w:ascii="宋体" w:hAnsi="宋体" w:eastAsia="宋体" w:cs="宋体"/>
          <w:b/>
          <w:color w:val="auto"/>
          <w:sz w:val="36"/>
          <w:szCs w:val="24"/>
        </w:rPr>
        <w:t xml:space="preserve">年    月    日</w:t>
      </w:r>
      <w:bookmarkEnd w:id="16"/>
      <w:r/>
      <w:r/>
    </w:p>
    <w:p>
      <w:pPr>
        <w:pStyle w:val="1010"/>
        <w:ind w:firstLine="2645"/>
        <w:keepNext w:val="0"/>
        <w:pageBreakBefore w:val="0"/>
        <w:spacing w:line="360" w:lineRule="auto"/>
        <w:rPr>
          <w:rFonts w:hint="eastAsia" w:ascii="宋体" w:hAnsi="宋体" w:eastAsia="宋体" w:cs="宋体"/>
          <w:b/>
          <w:color w:val="auto"/>
          <w:sz w:val="36"/>
          <w:szCs w:val="24"/>
        </w:rPr>
      </w:pPr>
      <w:r>
        <w:rPr>
          <w:rFonts w:hint="eastAsia" w:ascii="宋体" w:hAnsi="宋体" w:eastAsia="宋体" w:cs="宋体"/>
          <w:b/>
          <w:color w:val="auto"/>
          <w:sz w:val="36"/>
          <w:szCs w:val="24"/>
        </w:rPr>
      </w:r>
      <w:r/>
    </w:p>
    <w:p>
      <w:pPr>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尊敬的</w:t>
      </w:r>
      <w:r>
        <w:rPr>
          <w:rFonts w:hint="eastAsia" w:ascii="宋体" w:hAnsi="宋体" w:cs="宋体"/>
          <w:color w:val="auto"/>
          <w:sz w:val="24"/>
          <w:szCs w:val="24"/>
          <w:lang w:eastAsia="zh-CN"/>
        </w:rPr>
        <w:t xml:space="preserve">投标人：</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请按照以下文件的要求格式、内容制作</w:t>
      </w:r>
      <w:r>
        <w:rPr>
          <w:rFonts w:hint="eastAsia" w:ascii="宋体" w:hAnsi="宋体" w:cs="宋体"/>
          <w:color w:val="auto"/>
          <w:sz w:val="24"/>
          <w:szCs w:val="24"/>
          <w:lang w:eastAsia="zh-CN"/>
        </w:rPr>
        <w:t xml:space="preserve">投标文件</w:t>
      </w:r>
      <w:r>
        <w:rPr>
          <w:rFonts w:hint="eastAsia" w:ascii="宋体" w:hAnsi="宋体" w:eastAsia="宋体" w:cs="宋体"/>
          <w:color w:val="auto"/>
          <w:sz w:val="24"/>
          <w:szCs w:val="24"/>
        </w:rPr>
        <w:t xml:space="preserve">，并请编制目录及页码，否则可能将影响对</w:t>
      </w:r>
      <w:r>
        <w:rPr>
          <w:rFonts w:hint="eastAsia" w:ascii="宋体" w:hAnsi="宋体" w:cs="宋体"/>
          <w:color w:val="auto"/>
          <w:sz w:val="24"/>
          <w:szCs w:val="24"/>
          <w:lang w:eastAsia="zh-CN"/>
        </w:rPr>
        <w:t xml:space="preserve">投标文件</w:t>
      </w:r>
      <w:r>
        <w:rPr>
          <w:rFonts w:hint="eastAsia" w:ascii="宋体" w:hAnsi="宋体" w:eastAsia="宋体" w:cs="宋体"/>
          <w:color w:val="auto"/>
          <w:sz w:val="24"/>
          <w:szCs w:val="24"/>
        </w:rPr>
        <w:t xml:space="preserve">的评价。</w:t>
      </w:r>
      <w:r/>
    </w:p>
    <w:p>
      <w:pPr>
        <w:ind w:firstLine="480"/>
        <w:keepNext w:val="0"/>
        <w:pageBreakBefore w:val="0"/>
        <w:spacing w:line="360" w:lineRule="auto"/>
        <w:rPr>
          <w:rFonts w:hint="eastAsia" w:ascii="宋体" w:hAnsi="宋体" w:eastAsia="宋体" w:cs="宋体"/>
          <w:b w:val="0"/>
          <w:bCs w:val="0"/>
          <w:color w:val="auto"/>
          <w:sz w:val="24"/>
          <w:szCs w:val="24"/>
        </w:rPr>
      </w:pPr>
      <w:r/>
      <w:bookmarkStart w:id="17" w:name="_Toc18404_WPSOffice_Level1"/>
      <w:r>
        <w:rPr>
          <w:rFonts w:hint="eastAsia" w:ascii="宋体" w:hAnsi="宋体" w:cs="宋体"/>
          <w:b w:val="0"/>
          <w:bCs w:val="0"/>
          <w:color w:val="auto"/>
          <w:sz w:val="24"/>
          <w:szCs w:val="24"/>
          <w:lang w:eastAsia="zh-CN"/>
        </w:rPr>
        <w:t xml:space="preserve">投标文件</w:t>
      </w:r>
      <w:r>
        <w:rPr>
          <w:rFonts w:hint="eastAsia" w:ascii="宋体" w:hAnsi="宋体" w:eastAsia="宋体" w:cs="宋体"/>
          <w:b w:val="0"/>
          <w:bCs w:val="0"/>
          <w:color w:val="auto"/>
          <w:sz w:val="24"/>
          <w:szCs w:val="24"/>
        </w:rPr>
        <w:t xml:space="preserve">格式中所有要求签字和盖章的部分只需加盖</w:t>
      </w:r>
      <w:r>
        <w:rPr>
          <w:rFonts w:hint="eastAsia" w:ascii="宋体" w:hAnsi="宋体" w:eastAsia="宋体" w:cs="宋体"/>
          <w:b/>
          <w:bCs/>
          <w:color w:val="auto"/>
          <w:sz w:val="24"/>
          <w:szCs w:val="24"/>
        </w:rPr>
        <w:t xml:space="preserve">电子</w:t>
      </w:r>
      <w:r>
        <w:rPr>
          <w:rFonts w:hint="eastAsia" w:ascii="宋体" w:hAnsi="宋体" w:eastAsia="宋体" w:cs="宋体"/>
          <w:b/>
          <w:bCs/>
          <w:color w:val="auto"/>
          <w:sz w:val="24"/>
          <w:szCs w:val="24"/>
          <w:lang w:eastAsia="zh-CN"/>
        </w:rPr>
        <w:t xml:space="preserve">公</w:t>
      </w:r>
      <w:r>
        <w:rPr>
          <w:rFonts w:hint="eastAsia" w:ascii="宋体" w:hAnsi="宋体" w:eastAsia="宋体" w:cs="宋体"/>
          <w:b/>
          <w:bCs/>
          <w:color w:val="auto"/>
          <w:sz w:val="24"/>
          <w:szCs w:val="24"/>
        </w:rPr>
        <w:t xml:space="preserve">章</w:t>
      </w:r>
      <w:r>
        <w:rPr>
          <w:rFonts w:hint="eastAsia" w:ascii="宋体" w:hAnsi="宋体" w:eastAsia="宋体" w:cs="宋体"/>
          <w:b w:val="0"/>
          <w:bCs w:val="0"/>
          <w:color w:val="auto"/>
          <w:sz w:val="24"/>
          <w:szCs w:val="24"/>
        </w:rPr>
        <w:t xml:space="preserve">。</w:t>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一、</w:t>
      </w:r>
      <w:bookmarkEnd w:id="17"/>
      <w:r>
        <w:rPr>
          <w:rFonts w:hint="eastAsia" w:ascii="宋体" w:hAnsi="宋体" w:eastAsia="宋体" w:cs="宋体"/>
          <w:b/>
          <w:bCs/>
          <w:color w:val="auto"/>
          <w:sz w:val="32"/>
          <w:szCs w:val="32"/>
        </w:rPr>
        <w:t xml:space="preserve">投标函</w:t>
      </w:r>
      <w:r/>
    </w:p>
    <w:p>
      <w:pPr>
        <w:pStyle w:val="101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rPr>
        <w:t xml:space="preserve">                      </w:t>
      </w:r>
      <w:r>
        <w:rPr>
          <w:rFonts w:hint="eastAsia" w:hAnsi="宋体" w:cs="宋体"/>
          <w:color w:val="auto"/>
          <w:sz w:val="24"/>
          <w:szCs w:val="24"/>
          <w:lang w:eastAsia="zh-CN"/>
        </w:rPr>
        <w:t xml:space="preserve">：</w:t>
      </w:r>
      <w:r/>
    </w:p>
    <w:p>
      <w:pPr>
        <w:pStyle w:val="1124"/>
        <w:ind w:firstLine="480"/>
        <w:keepNext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采购项目（项</w:t>
      </w:r>
      <w:r>
        <w:rPr>
          <w:rFonts w:hint="eastAsia" w:ascii="宋体" w:hAnsi="宋体" w:eastAsia="宋体" w:cs="宋体"/>
          <w:color w:val="auto"/>
          <w:sz w:val="24"/>
          <w:szCs w:val="24"/>
          <w:highlight w:val="none"/>
        </w:rPr>
        <w:t xml:space="preserve">目编号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招标文件</w:t>
      </w:r>
      <w:r>
        <w:rPr>
          <w:rFonts w:hint="eastAsia" w:ascii="宋体" w:hAnsi="宋体" w:eastAsia="宋体" w:cs="宋体"/>
          <w:color w:val="auto"/>
          <w:sz w:val="24"/>
          <w:szCs w:val="24"/>
        </w:rPr>
        <w:t xml:space="preserve">（包括更正公告，如果有的话）收悉，我们经详细审阅和研究，现决定参加本项目</w:t>
      </w:r>
      <w:r>
        <w:rPr>
          <w:rFonts w:hint="eastAsia" w:ascii="宋体" w:hAnsi="宋体" w:cs="宋体"/>
          <w:color w:val="auto"/>
          <w:sz w:val="24"/>
          <w:szCs w:val="24"/>
          <w:lang w:val="en-US" w:eastAsia="zh-CN"/>
        </w:rPr>
        <w:t xml:space="preserve">投标</w:t>
      </w:r>
      <w:r>
        <w:rPr>
          <w:rFonts w:hint="eastAsia" w:ascii="宋体" w:hAnsi="宋体" w:eastAsia="宋体" w:cs="宋体"/>
          <w:color w:val="auto"/>
          <w:sz w:val="24"/>
          <w:szCs w:val="24"/>
        </w:rPr>
        <w:t xml:space="preserve">。同时，正式授权下述签字人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（姓名和职务）代表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单位名称），全权处理本次项目</w:t>
      </w:r>
      <w:r>
        <w:rPr>
          <w:rFonts w:hint="eastAsia" w:ascii="宋体" w:hAnsi="宋体" w:cs="宋体"/>
          <w:color w:val="auto"/>
          <w:sz w:val="24"/>
          <w:szCs w:val="24"/>
          <w:lang w:val="en-US" w:eastAsia="zh-CN"/>
        </w:rPr>
        <w:t xml:space="preserve">投标</w:t>
      </w:r>
      <w:r>
        <w:rPr>
          <w:rFonts w:hint="eastAsia" w:ascii="宋体" w:hAnsi="宋体" w:eastAsia="宋体" w:cs="宋体"/>
          <w:color w:val="auto"/>
          <w:sz w:val="24"/>
          <w:szCs w:val="24"/>
        </w:rPr>
        <w:t xml:space="preserve">的有关事宜。</w:t>
      </w:r>
      <w:r/>
    </w:p>
    <w:p>
      <w:pPr>
        <w:pStyle w:val="1007"/>
        <w:ind w:firstLine="480"/>
        <w:jc w:val="both"/>
        <w:keepLines w:val="0"/>
        <w:keepNext w:val="0"/>
        <w:pageBreakBefore w:val="0"/>
        <w:spacing w:line="360" w:lineRule="auto"/>
        <w:widowControl w:val="off"/>
        <w:tabs>
          <w:tab w:val="left" w:pos="7699" w:leader="none"/>
          <w:tab w:val="left" w:pos="9167"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按照</w:t>
      </w:r>
      <w:r>
        <w:rPr>
          <w:rFonts w:hint="eastAsia" w:ascii="宋体" w:hAnsi="宋体" w:eastAsia="宋体" w:cs="宋体"/>
          <w:color w:val="auto"/>
          <w:sz w:val="24"/>
          <w:szCs w:val="24"/>
          <w:lang w:val="en-US" w:eastAsia="zh-CN"/>
        </w:rPr>
        <w:t xml:space="preserve">招标文件</w:t>
      </w:r>
      <w:r>
        <w:rPr>
          <w:rFonts w:hint="eastAsia" w:ascii="宋体" w:hAnsi="宋体" w:eastAsia="宋体" w:cs="宋体"/>
          <w:color w:val="auto"/>
          <w:sz w:val="24"/>
          <w:szCs w:val="24"/>
        </w:rPr>
        <w:t xml:space="preserve">中规</w:t>
      </w:r>
      <w:r>
        <w:rPr>
          <w:rFonts w:hint="eastAsia" w:ascii="宋体" w:hAnsi="宋体" w:eastAsia="宋体" w:cs="宋体"/>
          <w:color w:val="auto"/>
          <w:sz w:val="24"/>
          <w:szCs w:val="24"/>
          <w:lang w:eastAsia="zh-CN"/>
        </w:rPr>
        <w:t xml:space="preserve">定的</w:t>
      </w:r>
      <w:r>
        <w:rPr>
          <w:rFonts w:hint="eastAsia" w:ascii="宋体" w:hAnsi="宋体" w:eastAsia="宋体" w:cs="宋体"/>
          <w:color w:val="auto"/>
          <w:sz w:val="24"/>
          <w:szCs w:val="24"/>
        </w:rPr>
        <w:t xml:space="preserve">各项要求，我方愿以人民币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元</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）的报价并按招标文件的规定要求提供所</w:t>
      </w:r>
      <w:r>
        <w:rPr>
          <w:rFonts w:hint="eastAsia" w:ascii="宋体" w:hAnsi="宋体" w:eastAsia="宋体" w:cs="宋体"/>
          <w:color w:val="auto"/>
          <w:sz w:val="24"/>
          <w:szCs w:val="24"/>
          <w:lang w:eastAsia="zh-CN"/>
        </w:rPr>
        <w:t xml:space="preserve">需</w:t>
      </w:r>
      <w:r>
        <w:rPr>
          <w:rFonts w:hint="eastAsia" w:ascii="宋体" w:hAnsi="宋体" w:eastAsia="宋体" w:cs="宋体"/>
          <w:color w:val="auto"/>
          <w:sz w:val="24"/>
          <w:szCs w:val="24"/>
        </w:rPr>
        <w:t xml:space="preserve">货物及服务。</w:t>
      </w:r>
      <w:r/>
    </w:p>
    <w:p>
      <w:pPr>
        <w:pStyle w:val="1007"/>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我们接受招标文件的所有的条款和规定。</w:t>
      </w:r>
      <w:r/>
    </w:p>
    <w:p>
      <w:pPr>
        <w:pStyle w:val="1007"/>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我们同意按照招标文件第二章第 14 条的规定，本投标文件的有效期为从开标之</w:t>
      </w:r>
      <w:r>
        <w:rPr>
          <w:rFonts w:hint="eastAsia" w:ascii="宋体" w:hAnsi="宋体" w:eastAsia="宋体" w:cs="宋体"/>
          <w:color w:val="auto"/>
          <w:sz w:val="24"/>
          <w:szCs w:val="24"/>
          <w:lang w:eastAsia="zh-CN"/>
        </w:rPr>
        <w:t xml:space="preserve">日</w:t>
      </w:r>
      <w:r>
        <w:rPr>
          <w:rFonts w:hint="eastAsia" w:ascii="宋体" w:hAnsi="宋体" w:eastAsia="宋体" w:cs="宋体"/>
          <w:color w:val="auto"/>
          <w:sz w:val="24"/>
          <w:szCs w:val="24"/>
        </w:rPr>
        <w:t xml:space="preserve">起计算的九十天，在此期间，本投标文件将始终对我们具有约束力，并随时被接受。如果我们中标，本投标文件在此期间之后将继续保持有效。如果在开标后规定的投标有效期内撤回投标，我们的投标保证金可被贵方没收。</w:t>
      </w:r>
      <w:r/>
    </w:p>
    <w:p>
      <w:pPr>
        <w:pStyle w:val="1007"/>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rPr>
        <w:t xml:space="preserve">如果我们成交，为执行合同，我们将按照招标文件规定要求提交履约保证金。</w:t>
      </w:r>
      <w:r/>
    </w:p>
    <w:p>
      <w:pPr>
        <w:pStyle w:val="1007"/>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5.</w:t>
      </w:r>
      <w:r>
        <w:rPr>
          <w:rFonts w:hint="eastAsia" w:ascii="宋体" w:hAnsi="宋体" w:eastAsia="宋体" w:cs="宋体"/>
          <w:color w:val="auto"/>
          <w:sz w:val="24"/>
          <w:szCs w:val="24"/>
        </w:rPr>
        <w:t xml:space="preserve">参加本次政府采购活动前三年内，我公司在经营活动中没有因违法经营受到刑事处罚或者责令停产停业、吊销许可证或者执照、较大数额罚款等行政处罚。</w:t>
      </w:r>
      <w:r/>
    </w:p>
    <w:p>
      <w:pPr>
        <w:pStyle w:val="1007"/>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6.</w:t>
      </w:r>
      <w:r>
        <w:rPr>
          <w:rFonts w:hint="eastAsia" w:ascii="宋体" w:hAnsi="宋体" w:eastAsia="宋体" w:cs="宋体"/>
          <w:color w:val="auto"/>
          <w:sz w:val="24"/>
          <w:szCs w:val="24"/>
        </w:rPr>
        <w:t xml:space="preserve">参加本次采购活动前，我方没有被“信用中国”网站、“中国政府采购网”列入失信被执行人名单、重大税收违法案件当事人名单、政府采购严重违法失信行为记录名单。</w:t>
      </w:r>
      <w:r/>
    </w:p>
    <w:p>
      <w:pPr>
        <w:pStyle w:val="1007"/>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7.</w:t>
      </w:r>
      <w:r>
        <w:rPr>
          <w:rFonts w:hint="eastAsia" w:ascii="宋体" w:hAnsi="宋体" w:eastAsia="宋体" w:cs="宋体"/>
          <w:color w:val="auto"/>
          <w:sz w:val="24"/>
          <w:szCs w:val="24"/>
        </w:rPr>
        <w:t xml:space="preserve">我公司郑重承诺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我公司具备履行合同所必需的设备和专业技术能力。 </w:t>
      </w:r>
      <w:r/>
    </w:p>
    <w:p>
      <w:pPr>
        <w:pStyle w:val="1007"/>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8.</w:t>
      </w:r>
      <w:r>
        <w:rPr>
          <w:rFonts w:hint="eastAsia" w:ascii="宋体" w:hAnsi="宋体" w:eastAsia="宋体" w:cs="宋体"/>
          <w:color w:val="auto"/>
          <w:sz w:val="24"/>
          <w:szCs w:val="24"/>
        </w:rPr>
        <w:t xml:space="preserve">我公司郑重承诺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我公司具备《中华人民共和国政府采购法》第二十二条规定的六项条件。</w:t>
      </w:r>
      <w:r/>
    </w:p>
    <w:p>
      <w:pPr>
        <w:pStyle w:val="1007"/>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9.</w:t>
      </w:r>
      <w:r>
        <w:rPr>
          <w:rFonts w:hint="eastAsia" w:ascii="宋体" w:hAnsi="宋体" w:eastAsia="宋体" w:cs="宋体"/>
          <w:color w:val="auto"/>
          <w:sz w:val="24"/>
          <w:szCs w:val="24"/>
        </w:rPr>
        <w:t xml:space="preserve">我们理解，你们无义务必须接受投标价最低的投标。同时也理解你们不承担我们本次投标的费用。</w:t>
      </w:r>
      <w:r/>
    </w:p>
    <w:p>
      <w:pPr>
        <w:pStyle w:val="1007"/>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10.</w:t>
      </w:r>
      <w:r>
        <w:rPr>
          <w:rFonts w:hint="eastAsia" w:ascii="宋体" w:hAnsi="宋体" w:eastAsia="宋体" w:cs="宋体"/>
          <w:color w:val="auto"/>
          <w:sz w:val="24"/>
          <w:szCs w:val="24"/>
        </w:rPr>
        <w:t xml:space="preserve">我们同意向贵方提供贵方可能要求的与投标有关的任何证据或资料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并保证所提供的都是真实的、准确的。</w:t>
      </w:r>
      <w:r/>
    </w:p>
    <w:p>
      <w:pPr>
        <w:pStyle w:val="1007"/>
        <w:ind w:firstLine="480"/>
        <w:jc w:val="both"/>
        <w:keepLines w:val="0"/>
        <w:keepNext w:val="0"/>
        <w:pageBreakBefore w:val="0"/>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一旦我方中标，我方将根据招标文件的规定，严格履行合同的责任和义务，并保证按招标文件中规定的时间内供货，</w:t>
      </w:r>
      <w:r>
        <w:rPr>
          <w:rFonts w:hint="eastAsia" w:ascii="宋体" w:hAnsi="宋体" w:eastAsia="宋体" w:cs="宋体"/>
          <w:color w:val="auto"/>
          <w:sz w:val="24"/>
          <w:szCs w:val="24"/>
          <w:lang w:val="en-US" w:eastAsia="zh-CN"/>
        </w:rPr>
        <w:t xml:space="preserve">完</w:t>
      </w:r>
      <w:r>
        <w:rPr>
          <w:rFonts w:hint="eastAsia" w:ascii="宋体" w:hAnsi="宋体" w:eastAsia="宋体" w:cs="宋体"/>
          <w:color w:val="auto"/>
          <w:sz w:val="24"/>
          <w:szCs w:val="24"/>
        </w:rPr>
        <w:t xml:space="preserve">成项目的施工、调试、交付买方验收、使用。否则我们的履约保证金将被贵方没收。</w:t>
      </w:r>
      <w:r/>
    </w:p>
    <w:p>
      <w:pPr>
        <w:pStyle w:val="1007"/>
        <w:ind w:firstLine="480"/>
        <w:jc w:val="both"/>
        <w:keepLines w:val="0"/>
        <w:keepNext w:val="0"/>
        <w:pageBreakBefore w:val="0"/>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我们没有为项目提供整体设计、规范编制或者项目管理、监理、检测等服务。</w:t>
      </w:r>
      <w:r/>
    </w:p>
    <w:p>
      <w:pPr>
        <w:pStyle w:val="1007"/>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07"/>
        <w:ind w:firstLine="480"/>
        <w:jc w:val="both"/>
        <w:keepNext w:val="0"/>
        <w:pageBreakBefore w:val="0"/>
        <w:spacing w:line="360" w:lineRule="auto"/>
        <w:tabs>
          <w:tab w:val="left" w:pos="6199" w:leader="none"/>
          <w:tab w:val="left" w:pos="8143" w:leader="none"/>
        </w:tabs>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名称（公章）：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p>
    <w:p>
      <w:pPr>
        <w:pStyle w:val="1007"/>
        <w:ind w:firstLine="480"/>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邮编：</w:t>
      </w:r>
      <w:r>
        <w:rPr>
          <w:rFonts w:hint="eastAsia" w:ascii="宋体" w:hAnsi="宋体" w:eastAsia="宋体" w:cs="宋体"/>
          <w:color w:val="auto"/>
          <w:sz w:val="24"/>
          <w:szCs w:val="24"/>
          <w:u w:val="single"/>
        </w:rPr>
        <w:t xml:space="preserve">              </w:t>
      </w:r>
      <w:r/>
    </w:p>
    <w:p>
      <w:pPr>
        <w:pStyle w:val="1007"/>
        <w:ind w:firstLine="480"/>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传真：</w:t>
      </w:r>
      <w:r>
        <w:rPr>
          <w:rFonts w:hint="eastAsia" w:ascii="宋体" w:hAnsi="宋体" w:eastAsia="宋体" w:cs="宋体"/>
          <w:color w:val="auto"/>
          <w:sz w:val="24"/>
          <w:szCs w:val="24"/>
          <w:u w:val="single"/>
        </w:rPr>
        <w:t xml:space="preserve">              </w:t>
      </w:r>
      <w:r/>
    </w:p>
    <w:p>
      <w:pPr>
        <w:pStyle w:val="1007"/>
        <w:ind w:firstLine="480"/>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rPr>
          <w:rFonts w:hint="eastAsia" w:ascii="仿宋" w:hAnsi="仿宋" w:eastAsia="仿宋"/>
          <w:b/>
          <w:color w:val="auto"/>
          <w:sz w:val="32"/>
          <w:szCs w:val="32"/>
        </w:rPr>
      </w:pPr>
      <w:r>
        <w:rPr>
          <w:rFonts w:hint="eastAsia" w:ascii="仿宋" w:hAnsi="仿宋" w:eastAsia="仿宋"/>
          <w:b/>
          <w:color w:val="auto"/>
          <w:sz w:val="32"/>
          <w:szCs w:val="32"/>
        </w:rPr>
        <w:br w:type="page" w:clear="all"/>
      </w:r>
      <w:r/>
    </w:p>
    <w:p>
      <w:pPr>
        <w:numPr>
          <w:ilvl w:val="0"/>
          <w:numId w:val="0"/>
        </w:numPr>
        <w:jc w:val="center"/>
        <w:keepNext w:val="0"/>
        <w:pageBreakBefore w:val="0"/>
        <w:spacing w:before="19" w:line="360" w:lineRule="auto"/>
        <w:widowControl/>
        <w:rPr>
          <w:rFonts w:hint="eastAsia" w:ascii="仿宋" w:hAnsi="仿宋" w:eastAsia="仿宋"/>
          <w:b/>
          <w:bCs w:val="0"/>
          <w:color w:val="auto"/>
          <w:sz w:val="32"/>
          <w:szCs w:val="32"/>
          <w:lang w:val="en-US" w:eastAsia="zh-CN"/>
        </w:rPr>
      </w:pPr>
      <w:r>
        <w:rPr>
          <w:rFonts w:hint="eastAsia" w:ascii="宋体" w:hAnsi="宋体" w:eastAsia="宋体" w:cs="宋体"/>
          <w:b/>
          <w:bCs w:val="0"/>
          <w:color w:val="auto"/>
          <w:sz w:val="32"/>
          <w:szCs w:val="32"/>
          <w:lang w:val="en-US" w:eastAsia="zh-CN"/>
        </w:rPr>
        <w:t xml:space="preserve">二、开标一览表</w:t>
      </w:r>
      <w:r/>
    </w:p>
    <w:tbl>
      <w:tblPr>
        <w:tblStyle w:val="1136"/>
        <w:tblW w:w="97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5"/>
        <w:gridCol w:w="7134"/>
      </w:tblGrid>
      <w:tr>
        <w:trPr>
          <w:jc w:val="center"/>
          <w:trHeight w:val="780"/>
        </w:trPr>
        <w:tc>
          <w:tcPr>
            <w:tcW w:w="2605" w:type="dxa"/>
            <w:vAlign w:val="center"/>
            <w:textDirection w:val="lrTb"/>
            <w:noWrap w:val="false"/>
          </w:tcPr>
          <w:p>
            <w:pPr>
              <w:pStyle w:val="1135"/>
              <w:jc w:val="center"/>
              <w:spacing w:line="240" w:lineRule="auto"/>
              <w:rPr>
                <w:color w:val="auto"/>
              </w:rPr>
            </w:pPr>
            <w:r>
              <w:rPr>
                <w:rFonts w:hint="eastAsia"/>
                <w:color w:val="auto"/>
                <w:spacing w:val="-3"/>
                <w:lang w:eastAsia="zh-CN"/>
              </w:rPr>
              <w:t xml:space="preserve">项目</w:t>
            </w:r>
            <w:r>
              <w:rPr>
                <w:color w:val="auto"/>
                <w:spacing w:val="-3"/>
              </w:rPr>
              <w:t xml:space="preserve">名称</w:t>
            </w:r>
            <w:r/>
          </w:p>
        </w:tc>
        <w:tc>
          <w:tcPr>
            <w:tcW w:w="7134" w:type="dxa"/>
            <w:vAlign w:val="center"/>
            <w:textDirection w:val="lrTb"/>
            <w:noWrap w:val="false"/>
          </w:tcPr>
          <w:p>
            <w:pPr>
              <w:jc w:val="center"/>
              <w:spacing w:line="240" w:lineRule="auto"/>
              <w:rPr>
                <w:color w:val="auto"/>
              </w:rPr>
            </w:pPr>
            <w:r>
              <w:rPr>
                <w:color w:val="auto"/>
              </w:rPr>
            </w:r>
            <w:r/>
          </w:p>
        </w:tc>
      </w:tr>
      <w:tr>
        <w:trPr>
          <w:jc w:val="center"/>
          <w:trHeight w:val="767"/>
        </w:trPr>
        <w:tc>
          <w:tcPr>
            <w:tcW w:w="2605" w:type="dxa"/>
            <w:vAlign w:val="center"/>
            <w:textDirection w:val="lrTb"/>
            <w:noWrap w:val="false"/>
          </w:tcPr>
          <w:p>
            <w:pPr>
              <w:pStyle w:val="1135"/>
              <w:ind w:left="831"/>
              <w:jc w:val="both"/>
              <w:spacing w:line="240" w:lineRule="auto"/>
              <w:rPr>
                <w:color w:val="auto"/>
              </w:rPr>
            </w:pPr>
            <w:r>
              <w:rPr>
                <w:rFonts w:hint="eastAsia"/>
                <w:color w:val="auto"/>
                <w:spacing w:val="-3"/>
                <w:lang w:eastAsia="zh-CN"/>
              </w:rPr>
              <w:t xml:space="preserve">项目</w:t>
            </w:r>
            <w:r>
              <w:rPr>
                <w:color w:val="auto"/>
                <w:spacing w:val="-3"/>
              </w:rPr>
              <w:t xml:space="preserve">编号</w:t>
            </w:r>
            <w:r/>
          </w:p>
        </w:tc>
        <w:tc>
          <w:tcPr>
            <w:tcW w:w="7134" w:type="dxa"/>
            <w:vAlign w:val="center"/>
            <w:textDirection w:val="lrTb"/>
            <w:noWrap w:val="false"/>
          </w:tcPr>
          <w:p>
            <w:pPr>
              <w:jc w:val="center"/>
              <w:spacing w:line="240" w:lineRule="auto"/>
              <w:rPr>
                <w:color w:val="auto"/>
              </w:rPr>
            </w:pPr>
            <w:r>
              <w:rPr>
                <w:color w:val="auto"/>
              </w:rPr>
            </w:r>
            <w:r/>
          </w:p>
        </w:tc>
      </w:tr>
      <w:tr>
        <w:trPr>
          <w:jc w:val="center"/>
          <w:trHeight w:val="1559"/>
        </w:trPr>
        <w:tc>
          <w:tcPr>
            <w:tcW w:w="2605" w:type="dxa"/>
            <w:vAlign w:val="center"/>
            <w:textDirection w:val="lrTb"/>
            <w:noWrap w:val="false"/>
          </w:tcPr>
          <w:p>
            <w:pPr>
              <w:pStyle w:val="1135"/>
              <w:jc w:val="center"/>
              <w:spacing w:line="240" w:lineRule="auto"/>
              <w:rPr>
                <w:rFonts w:hint="eastAsia" w:eastAsia="宋体"/>
                <w:color w:val="auto"/>
                <w:lang w:eastAsia="zh-CN"/>
              </w:rPr>
            </w:pPr>
            <w:r>
              <w:rPr>
                <w:color w:val="auto"/>
                <w:spacing w:val="-4"/>
              </w:rPr>
              <w:t xml:space="preserve">投标报价</w:t>
            </w:r>
            <w:r>
              <w:rPr>
                <w:rFonts w:hint="eastAsia"/>
                <w:color w:val="auto"/>
                <w:spacing w:val="-4"/>
                <w:lang w:eastAsia="zh-CN"/>
              </w:rPr>
              <w:t xml:space="preserve">（元）</w:t>
            </w:r>
            <w:r/>
          </w:p>
        </w:tc>
        <w:tc>
          <w:tcPr>
            <w:tcW w:w="7134" w:type="dxa"/>
            <w:vAlign w:val="center"/>
            <w:textDirection w:val="lrTb"/>
            <w:noWrap w:val="false"/>
          </w:tcPr>
          <w:p>
            <w:pPr>
              <w:pStyle w:val="1135"/>
              <w:jc w:val="both"/>
              <w:spacing w:line="240" w:lineRule="auto"/>
              <w:rPr>
                <w:color w:val="auto"/>
                <w:spacing w:val="-93"/>
              </w:rPr>
            </w:pPr>
            <w:r>
              <w:rPr>
                <w:color w:val="auto"/>
                <w:spacing w:val="-2"/>
              </w:rPr>
              <w:t xml:space="preserve">（大写）人民币</w:t>
            </w:r>
            <w:r>
              <w:rPr>
                <w:color w:val="auto"/>
                <w:spacing w:val="-2"/>
                <w:u w:val="single"/>
              </w:rPr>
              <w:t xml:space="preserve">   </w:t>
            </w:r>
            <w:r>
              <w:rPr>
                <w:rFonts w:hint="eastAsia"/>
                <w:color w:val="auto"/>
                <w:spacing w:val="-2"/>
                <w:u w:val="single"/>
                <w:lang w:val="en-US" w:eastAsia="zh-CN"/>
              </w:rPr>
              <w:t xml:space="preserve">      </w:t>
            </w:r>
            <w:r>
              <w:rPr>
                <w:color w:val="auto"/>
                <w:spacing w:val="-2"/>
                <w:u w:val="single"/>
              </w:rPr>
              <w:t xml:space="preserve">       </w:t>
            </w:r>
            <w:r>
              <w:rPr>
                <w:color w:val="auto"/>
                <w:spacing w:val="-93"/>
              </w:rPr>
              <w:t xml:space="preserve"> </w:t>
            </w:r>
            <w:r/>
          </w:p>
          <w:p>
            <w:pPr>
              <w:pStyle w:val="1135"/>
              <w:jc w:val="both"/>
              <w:spacing w:line="240" w:lineRule="auto"/>
              <w:rPr>
                <w:color w:val="auto"/>
                <w:spacing w:val="-93"/>
              </w:rPr>
            </w:pPr>
            <w:r>
              <w:rPr>
                <w:color w:val="auto"/>
                <w:spacing w:val="-93"/>
              </w:rPr>
            </w:r>
            <w:r/>
          </w:p>
          <w:p>
            <w:pPr>
              <w:pStyle w:val="1135"/>
              <w:jc w:val="both"/>
              <w:spacing w:line="240" w:lineRule="auto"/>
              <w:rPr>
                <w:rFonts w:hint="default" w:eastAsia="宋体"/>
                <w:color w:val="auto"/>
                <w:lang w:val="en-US" w:eastAsia="zh-CN"/>
              </w:rPr>
            </w:pPr>
            <w:r>
              <w:rPr>
                <w:color w:val="auto"/>
                <w:spacing w:val="-2"/>
              </w:rPr>
              <w:t xml:space="preserve">（小写）</w:t>
            </w:r>
            <w:r>
              <w:rPr>
                <w:rFonts w:hint="eastAsia"/>
                <w:color w:val="auto"/>
                <w:spacing w:val="-2"/>
              </w:rPr>
              <w:t xml:space="preserve">￥</w:t>
            </w:r>
            <w:r>
              <w:rPr>
                <w:color w:val="auto"/>
                <w:spacing w:val="-2"/>
                <w:u w:val="single"/>
              </w:rPr>
              <w:t xml:space="preserve">      </w:t>
            </w:r>
            <w:r>
              <w:rPr>
                <w:rFonts w:hint="eastAsia"/>
                <w:color w:val="auto"/>
                <w:spacing w:val="-2"/>
                <w:u w:val="single"/>
                <w:lang w:val="en-US" w:eastAsia="zh-CN"/>
              </w:rPr>
              <w:t xml:space="preserve">           </w:t>
            </w:r>
            <w:r>
              <w:rPr>
                <w:color w:val="auto"/>
                <w:spacing w:val="-2"/>
                <w:u w:val="single"/>
              </w:rPr>
              <w:t xml:space="preserve">   </w:t>
            </w:r>
            <w:r>
              <w:rPr>
                <w:color w:val="auto"/>
                <w:spacing w:val="-101"/>
              </w:rPr>
              <w:t xml:space="preserve"> </w:t>
            </w:r>
            <w:r>
              <w:rPr>
                <w:rFonts w:hint="eastAsia"/>
                <w:color w:val="auto"/>
                <w:spacing w:val="-101"/>
                <w:lang w:val="en-US" w:eastAsia="zh-CN"/>
              </w:rPr>
              <w:t xml:space="preserve">       </w:t>
            </w:r>
            <w:r/>
          </w:p>
        </w:tc>
      </w:tr>
      <w:tr>
        <w:trPr>
          <w:jc w:val="center"/>
          <w:trHeight w:val="980"/>
        </w:trPr>
        <w:tc>
          <w:tcPr>
            <w:tcW w:w="2605" w:type="dxa"/>
            <w:vAlign w:val="center"/>
            <w:textDirection w:val="lrTb"/>
            <w:noWrap w:val="false"/>
          </w:tcPr>
          <w:p>
            <w:pPr>
              <w:pStyle w:val="1135"/>
              <w:jc w:val="center"/>
              <w:spacing w:line="240" w:lineRule="auto"/>
              <w:rPr>
                <w:color w:val="auto"/>
              </w:rPr>
            </w:pPr>
            <w:r>
              <w:rPr>
                <w:color w:val="auto"/>
                <w:spacing w:val="-2"/>
              </w:rPr>
              <w:t xml:space="preserve">合同履行期限</w:t>
            </w:r>
            <w:r/>
          </w:p>
        </w:tc>
        <w:tc>
          <w:tcPr>
            <w:tcW w:w="7134" w:type="dxa"/>
            <w:vAlign w:val="center"/>
            <w:textDirection w:val="lrTb"/>
            <w:noWrap w:val="false"/>
          </w:tcPr>
          <w:p>
            <w:pPr>
              <w:jc w:val="center"/>
              <w:spacing w:line="240" w:lineRule="auto"/>
              <w:rPr>
                <w:color w:val="auto"/>
              </w:rPr>
            </w:pPr>
            <w:r>
              <w:rPr>
                <w:color w:val="auto"/>
              </w:rPr>
            </w:r>
            <w:r/>
          </w:p>
        </w:tc>
      </w:tr>
    </w:tbl>
    <w:p>
      <w:pPr>
        <w:numPr>
          <w:ilvl w:val="0"/>
          <w:numId w:val="0"/>
        </w:numPr>
        <w:jc w:val="both"/>
        <w:keepNext w:val="0"/>
        <w:pageBreakBefore w:val="0"/>
        <w:spacing w:before="19"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1007"/>
        <w:jc w:val="both"/>
        <w:keepNext w:val="0"/>
        <w:pageBreakBefore w:val="0"/>
        <w:spacing w:line="360" w:lineRule="auto"/>
        <w:tabs>
          <w:tab w:val="left" w:pos="6199" w:leader="none"/>
          <w:tab w:val="left" w:pos="8143" w:leader="none"/>
        </w:tabs>
        <w:rPr>
          <w:rFonts w:hint="default" w:ascii="宋体" w:hAnsi="宋体" w:eastAsia="仿宋_GB2312" w:cs="宋体"/>
          <w:color w:val="auto"/>
          <w:sz w:val="24"/>
          <w:szCs w:val="24"/>
          <w:u w:val="single"/>
          <w:lang w:val="en-US" w:eastAsia="zh-CN"/>
        </w:rPr>
      </w:pP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名称（公章）：</w:t>
      </w:r>
      <w:r>
        <w:rPr>
          <w:color w:val="auto"/>
          <w:spacing w:val="-2"/>
          <w:u w:val="single"/>
        </w:rPr>
        <w:t xml:space="preserve">   </w:t>
      </w:r>
      <w:r>
        <w:rPr>
          <w:rFonts w:hint="eastAsia"/>
          <w:color w:val="auto"/>
          <w:spacing w:val="-2"/>
          <w:u w:val="single"/>
          <w:lang w:val="en-US" w:eastAsia="zh-CN"/>
        </w:rPr>
        <w:t xml:space="preserve">      </w:t>
      </w:r>
      <w:r>
        <w:rPr>
          <w:color w:val="auto"/>
          <w:spacing w:val="-2"/>
          <w:u w:val="single"/>
        </w:rPr>
        <w:t xml:space="preserve">       </w:t>
      </w:r>
      <w:r>
        <w:rPr>
          <w:rFonts w:hint="eastAsia"/>
          <w:color w:val="auto"/>
          <w:spacing w:val="-2"/>
          <w:u w:val="single"/>
          <w:lang w:val="en-US" w:eastAsia="zh-CN"/>
        </w:rPr>
        <w:t xml:space="preserve">  </w:t>
      </w:r>
      <w:r/>
    </w:p>
    <w:p>
      <w:pPr>
        <w:pStyle w:val="1007"/>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p>
    <w:p>
      <w:pPr>
        <w:pStyle w:val="1007"/>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此表为表样，表式不变。</w:t>
      </w:r>
      <w:r/>
    </w:p>
    <w:p>
      <w:pPr>
        <w:pStyle w:val="1007"/>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如果单价和总价不符时，以单价为准。</w:t>
      </w:r>
      <w:r/>
    </w:p>
    <w:p>
      <w:pPr>
        <w:pStyle w:val="1007"/>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价格应按照招标文件第二章第</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条的要求报价。</w:t>
      </w:r>
      <w:r/>
    </w:p>
    <w:p>
      <w:pPr>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cs="宋体"/>
          <w:b/>
          <w:bCs/>
          <w:color w:val="auto"/>
          <w:sz w:val="32"/>
          <w:szCs w:val="32"/>
        </w:rPr>
      </w:pPr>
      <w:r>
        <w:rPr>
          <w:rFonts w:hint="eastAsia" w:ascii="宋体" w:hAnsi="宋体" w:cs="宋体"/>
          <w:b/>
          <w:bCs/>
          <w:color w:val="auto"/>
          <w:sz w:val="32"/>
          <w:szCs w:val="32"/>
          <w:lang w:val="en-US" w:eastAsia="zh-CN"/>
        </w:rPr>
        <w:t xml:space="preserve">三、投标报价明细表</w:t>
      </w:r>
      <w:r/>
    </w:p>
    <w:p>
      <w:pPr>
        <w:jc w:val="center"/>
        <w:keepNext w:val="0"/>
        <w:pageBreakBefore w:val="0"/>
        <w:spacing w:line="360" w:lineRule="auto"/>
        <w:rPr>
          <w:rFonts w:hint="eastAsia" w:ascii="宋体" w:hAnsi="宋体" w:cs="宋体"/>
          <w:color w:val="auto"/>
        </w:rPr>
      </w:pPr>
      <w:r>
        <w:rPr>
          <w:rFonts w:hint="eastAsia" w:ascii="宋体" w:hAnsi="宋体" w:cs="宋体"/>
          <w:color w:val="auto"/>
          <w:sz w:val="24"/>
          <w:szCs w:val="32"/>
        </w:rPr>
        <w:t xml:space="preserve">（注：根据第五章项目采购需求填写）</w:t>
      </w:r>
      <w:r/>
    </w:p>
    <w:tbl>
      <w:tblPr>
        <w:tblStyle w:val="1136"/>
        <w:tblW w:w="97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6"/>
        <w:gridCol w:w="1300"/>
        <w:gridCol w:w="1814"/>
        <w:gridCol w:w="1118"/>
        <w:gridCol w:w="907"/>
        <w:gridCol w:w="1262"/>
        <w:gridCol w:w="1232"/>
        <w:gridCol w:w="1208"/>
      </w:tblGrid>
      <w:tr>
        <w:trPr>
          <w:trHeight w:val="702"/>
        </w:trPr>
        <w:tc>
          <w:tcPr>
            <w:tcW w:w="906" w:type="dxa"/>
            <w:textDirection w:val="tbRlV"/>
            <w:noWrap w:val="false"/>
          </w:tcPr>
          <w:p>
            <w:pPr>
              <w:pStyle w:val="1135"/>
              <w:ind w:left="39"/>
              <w:spacing w:before="187" w:line="211" w:lineRule="auto"/>
              <w:rPr>
                <w:sz w:val="22"/>
                <w:szCs w:val="22"/>
              </w:rPr>
            </w:pPr>
            <w:r>
              <w:rPr>
                <w:spacing w:val="33"/>
                <w:sz w:val="22"/>
                <w:szCs w:val="22"/>
              </w:rPr>
              <w:t xml:space="preserve">序号</w:t>
            </w:r>
            <w:r/>
          </w:p>
        </w:tc>
        <w:tc>
          <w:tcPr>
            <w:tcW w:w="1300" w:type="dxa"/>
            <w:textDirection w:val="lrTb"/>
            <w:noWrap w:val="false"/>
          </w:tcPr>
          <w:p>
            <w:pPr>
              <w:pStyle w:val="1135"/>
              <w:ind w:left="313"/>
              <w:spacing w:before="184" w:line="222" w:lineRule="auto"/>
              <w:rPr>
                <w:sz w:val="22"/>
                <w:szCs w:val="22"/>
              </w:rPr>
            </w:pPr>
            <w:r>
              <w:rPr>
                <w:spacing w:val="-3"/>
                <w:sz w:val="22"/>
                <w:szCs w:val="22"/>
              </w:rPr>
              <w:t xml:space="preserve">名称</w:t>
            </w:r>
            <w:r/>
          </w:p>
        </w:tc>
        <w:tc>
          <w:tcPr>
            <w:tcW w:w="1814" w:type="dxa"/>
            <w:textDirection w:val="lrTb"/>
            <w:noWrap w:val="false"/>
          </w:tcPr>
          <w:p>
            <w:pPr>
              <w:pStyle w:val="1135"/>
              <w:ind w:left="612"/>
              <w:spacing w:before="183" w:line="221" w:lineRule="auto"/>
              <w:rPr>
                <w:sz w:val="22"/>
                <w:szCs w:val="22"/>
              </w:rPr>
            </w:pPr>
            <w:r>
              <w:rPr>
                <w:spacing w:val="-13"/>
                <w:sz w:val="22"/>
                <w:szCs w:val="22"/>
              </w:rPr>
              <w:t xml:space="preserve">品牌</w:t>
            </w:r>
            <w:r>
              <w:rPr>
                <w:rFonts w:hint="eastAsia"/>
                <w:spacing w:val="-13"/>
                <w:sz w:val="22"/>
                <w:szCs w:val="22"/>
                <w:lang w:eastAsia="zh-CN"/>
              </w:rPr>
              <w:t xml:space="preserve">型号</w:t>
            </w:r>
            <w:r/>
          </w:p>
        </w:tc>
        <w:tc>
          <w:tcPr>
            <w:tcW w:w="1118" w:type="dxa"/>
            <w:textDirection w:val="lrTb"/>
            <w:noWrap w:val="false"/>
          </w:tcPr>
          <w:p>
            <w:pPr>
              <w:pStyle w:val="1135"/>
              <w:ind w:left="132"/>
              <w:spacing w:before="183" w:line="222" w:lineRule="auto"/>
              <w:rPr>
                <w:sz w:val="22"/>
                <w:szCs w:val="22"/>
              </w:rPr>
            </w:pPr>
            <w:r>
              <w:rPr>
                <w:spacing w:val="-5"/>
                <w:sz w:val="22"/>
                <w:szCs w:val="22"/>
              </w:rPr>
              <w:t xml:space="preserve">单位</w:t>
            </w:r>
            <w:r/>
          </w:p>
        </w:tc>
        <w:tc>
          <w:tcPr>
            <w:tcW w:w="907" w:type="dxa"/>
            <w:textDirection w:val="lrTb"/>
            <w:noWrap w:val="false"/>
          </w:tcPr>
          <w:p>
            <w:pPr>
              <w:pStyle w:val="1135"/>
              <w:ind w:left="178"/>
              <w:spacing w:before="183" w:line="221" w:lineRule="auto"/>
              <w:rPr>
                <w:sz w:val="22"/>
                <w:szCs w:val="22"/>
              </w:rPr>
            </w:pPr>
            <w:r>
              <w:rPr>
                <w:spacing w:val="-5"/>
                <w:sz w:val="22"/>
                <w:szCs w:val="22"/>
              </w:rPr>
              <w:t xml:space="preserve">数量</w:t>
            </w:r>
            <w:r/>
          </w:p>
        </w:tc>
        <w:tc>
          <w:tcPr>
            <w:tcW w:w="1262" w:type="dxa"/>
            <w:textDirection w:val="lrTb"/>
            <w:noWrap w:val="false"/>
          </w:tcPr>
          <w:p>
            <w:pPr>
              <w:pStyle w:val="1135"/>
              <w:spacing w:before="184" w:line="219" w:lineRule="auto"/>
              <w:rPr>
                <w:rFonts w:hint="eastAsia" w:eastAsia="宋体"/>
                <w:sz w:val="22"/>
                <w:szCs w:val="22"/>
                <w:lang w:eastAsia="zh-CN"/>
              </w:rPr>
            </w:pPr>
            <w:r>
              <w:rPr>
                <w:spacing w:val="-5"/>
                <w:sz w:val="22"/>
                <w:szCs w:val="22"/>
              </w:rPr>
              <w:t xml:space="preserve">单价</w:t>
            </w:r>
            <w:r>
              <w:rPr>
                <w:rFonts w:hint="eastAsia"/>
                <w:spacing w:val="-5"/>
                <w:sz w:val="22"/>
                <w:szCs w:val="22"/>
                <w:lang w:eastAsia="zh-CN"/>
              </w:rPr>
              <w:t xml:space="preserve">（元）</w:t>
            </w:r>
            <w:r/>
          </w:p>
        </w:tc>
        <w:tc>
          <w:tcPr>
            <w:tcW w:w="1232" w:type="dxa"/>
            <w:textDirection w:val="lrTb"/>
            <w:noWrap w:val="false"/>
          </w:tcPr>
          <w:p>
            <w:pPr>
              <w:pStyle w:val="1135"/>
              <w:spacing w:before="184" w:line="219" w:lineRule="auto"/>
              <w:rPr>
                <w:rFonts w:hint="eastAsia" w:eastAsia="宋体"/>
                <w:sz w:val="22"/>
                <w:szCs w:val="22"/>
                <w:lang w:eastAsia="zh-CN"/>
              </w:rPr>
            </w:pPr>
            <w:r>
              <w:rPr>
                <w:spacing w:val="-5"/>
                <w:sz w:val="22"/>
                <w:szCs w:val="22"/>
              </w:rPr>
              <w:t xml:space="preserve">总价</w:t>
            </w:r>
            <w:r>
              <w:rPr>
                <w:rFonts w:hint="eastAsia"/>
                <w:spacing w:val="-5"/>
                <w:sz w:val="22"/>
                <w:szCs w:val="22"/>
                <w:lang w:eastAsia="zh-CN"/>
              </w:rPr>
              <w:t xml:space="preserve">（元）</w:t>
            </w:r>
            <w:r/>
          </w:p>
        </w:tc>
        <w:tc>
          <w:tcPr>
            <w:tcW w:w="1208" w:type="dxa"/>
            <w:textDirection w:val="lrTb"/>
            <w:noWrap w:val="false"/>
          </w:tcPr>
          <w:p>
            <w:pPr>
              <w:pStyle w:val="1135"/>
              <w:ind w:left="328"/>
              <w:spacing w:before="184" w:line="222" w:lineRule="auto"/>
              <w:rPr>
                <w:sz w:val="22"/>
                <w:szCs w:val="22"/>
              </w:rPr>
            </w:pPr>
            <w:r>
              <w:rPr>
                <w:spacing w:val="-5"/>
                <w:sz w:val="22"/>
                <w:szCs w:val="22"/>
              </w:rPr>
              <w:t xml:space="preserve">备注</w:t>
            </w:r>
            <w:r/>
          </w:p>
        </w:tc>
      </w:tr>
      <w:tr>
        <w:trPr>
          <w:trHeight w:val="603"/>
        </w:trPr>
        <w:tc>
          <w:tcPr>
            <w:tcW w:w="906" w:type="dxa"/>
            <w:textDirection w:val="lrTb"/>
            <w:noWrap w:val="false"/>
          </w:tcPr>
          <w:p>
            <w:pPr>
              <w:pStyle w:val="1135"/>
              <w:ind w:left="270"/>
              <w:spacing w:before="223" w:line="184" w:lineRule="auto"/>
              <w:rPr>
                <w:sz w:val="22"/>
                <w:szCs w:val="22"/>
              </w:rPr>
            </w:pPr>
            <w:r>
              <w:rPr>
                <w:sz w:val="22"/>
                <w:szCs w:val="22"/>
              </w:rPr>
              <w:t xml:space="preserve">1</w:t>
            </w:r>
            <w:r/>
          </w:p>
        </w:tc>
        <w:tc>
          <w:tcPr>
            <w:tcW w:w="1300" w:type="dxa"/>
            <w:textDirection w:val="lrTb"/>
            <w:noWrap w:val="false"/>
          </w:tcPr>
          <w:p>
            <w:r/>
            <w:r/>
          </w:p>
        </w:tc>
        <w:tc>
          <w:tcPr>
            <w:tcW w:w="1814" w:type="dxa"/>
            <w:textDirection w:val="lrTb"/>
            <w:noWrap w:val="false"/>
          </w:tcPr>
          <w:p>
            <w:r/>
            <w:r/>
          </w:p>
        </w:tc>
        <w:tc>
          <w:tcPr>
            <w:tcW w:w="1118" w:type="dxa"/>
            <w:textDirection w:val="lrTb"/>
            <w:noWrap w:val="false"/>
          </w:tcPr>
          <w:p>
            <w:r/>
            <w:r/>
          </w:p>
        </w:tc>
        <w:tc>
          <w:tcPr>
            <w:tcW w:w="907" w:type="dxa"/>
            <w:textDirection w:val="lrTb"/>
            <w:noWrap w:val="false"/>
          </w:tcPr>
          <w:p>
            <w:r/>
            <w:r/>
          </w:p>
        </w:tc>
        <w:tc>
          <w:tcPr>
            <w:tcW w:w="1262" w:type="dxa"/>
            <w:textDirection w:val="lrTb"/>
            <w:noWrap w:val="false"/>
          </w:tcPr>
          <w:p>
            <w:r/>
            <w:r/>
          </w:p>
        </w:tc>
        <w:tc>
          <w:tcPr>
            <w:tcW w:w="1232" w:type="dxa"/>
            <w:textDirection w:val="lrTb"/>
            <w:noWrap w:val="false"/>
          </w:tcPr>
          <w:p>
            <w:r/>
            <w:r/>
          </w:p>
        </w:tc>
        <w:tc>
          <w:tcPr>
            <w:tcW w:w="1208" w:type="dxa"/>
            <w:textDirection w:val="lrTb"/>
            <w:noWrap w:val="false"/>
          </w:tcPr>
          <w:p>
            <w:r/>
            <w:r/>
          </w:p>
        </w:tc>
      </w:tr>
      <w:tr>
        <w:trPr>
          <w:trHeight w:val="667"/>
        </w:trPr>
        <w:tc>
          <w:tcPr>
            <w:tcW w:w="906" w:type="dxa"/>
            <w:textDirection w:val="lrTb"/>
            <w:noWrap w:val="false"/>
          </w:tcPr>
          <w:p>
            <w:pPr>
              <w:pStyle w:val="1135"/>
              <w:ind w:left="256"/>
              <w:spacing w:before="256" w:line="184" w:lineRule="auto"/>
              <w:rPr>
                <w:sz w:val="22"/>
                <w:szCs w:val="22"/>
              </w:rPr>
            </w:pPr>
            <w:r>
              <w:rPr>
                <w:sz w:val="22"/>
                <w:szCs w:val="22"/>
              </w:rPr>
              <w:t xml:space="preserve">2</w:t>
            </w:r>
            <w:r/>
          </w:p>
        </w:tc>
        <w:tc>
          <w:tcPr>
            <w:tcW w:w="1300" w:type="dxa"/>
            <w:textDirection w:val="lrTb"/>
            <w:noWrap w:val="false"/>
          </w:tcPr>
          <w:p>
            <w:r/>
            <w:r/>
          </w:p>
        </w:tc>
        <w:tc>
          <w:tcPr>
            <w:tcW w:w="1814" w:type="dxa"/>
            <w:textDirection w:val="lrTb"/>
            <w:noWrap w:val="false"/>
          </w:tcPr>
          <w:p>
            <w:r/>
            <w:r/>
          </w:p>
        </w:tc>
        <w:tc>
          <w:tcPr>
            <w:tcW w:w="1118" w:type="dxa"/>
            <w:textDirection w:val="lrTb"/>
            <w:noWrap w:val="false"/>
          </w:tcPr>
          <w:p>
            <w:r/>
            <w:r/>
          </w:p>
        </w:tc>
        <w:tc>
          <w:tcPr>
            <w:tcW w:w="907" w:type="dxa"/>
            <w:textDirection w:val="lrTb"/>
            <w:noWrap w:val="false"/>
          </w:tcPr>
          <w:p>
            <w:r/>
            <w:r/>
          </w:p>
        </w:tc>
        <w:tc>
          <w:tcPr>
            <w:tcW w:w="1262" w:type="dxa"/>
            <w:textDirection w:val="lrTb"/>
            <w:noWrap w:val="false"/>
          </w:tcPr>
          <w:p>
            <w:r/>
            <w:r/>
          </w:p>
        </w:tc>
        <w:tc>
          <w:tcPr>
            <w:tcW w:w="1232" w:type="dxa"/>
            <w:textDirection w:val="lrTb"/>
            <w:noWrap w:val="false"/>
          </w:tcPr>
          <w:p>
            <w:r/>
            <w:r/>
          </w:p>
        </w:tc>
        <w:tc>
          <w:tcPr>
            <w:tcW w:w="1208" w:type="dxa"/>
            <w:textDirection w:val="lrTb"/>
            <w:noWrap w:val="false"/>
          </w:tcPr>
          <w:p>
            <w:r/>
            <w:r/>
          </w:p>
        </w:tc>
      </w:tr>
      <w:tr>
        <w:trPr>
          <w:trHeight w:val="697"/>
        </w:trPr>
        <w:tc>
          <w:tcPr>
            <w:tcW w:w="906" w:type="dxa"/>
            <w:textDirection w:val="lrTb"/>
            <w:noWrap w:val="false"/>
          </w:tcPr>
          <w:p>
            <w:pPr>
              <w:pStyle w:val="1135"/>
              <w:ind w:left="258"/>
              <w:spacing w:before="273" w:line="184" w:lineRule="auto"/>
              <w:rPr>
                <w:sz w:val="22"/>
                <w:szCs w:val="22"/>
              </w:rPr>
            </w:pPr>
            <w:r>
              <w:rPr>
                <w:sz w:val="22"/>
                <w:szCs w:val="22"/>
              </w:rPr>
              <w:t xml:space="preserve">3</w:t>
            </w:r>
            <w:r/>
          </w:p>
        </w:tc>
        <w:tc>
          <w:tcPr>
            <w:tcW w:w="1300" w:type="dxa"/>
            <w:textDirection w:val="lrTb"/>
            <w:noWrap w:val="false"/>
          </w:tcPr>
          <w:p>
            <w:r/>
            <w:r/>
          </w:p>
        </w:tc>
        <w:tc>
          <w:tcPr>
            <w:tcW w:w="1814" w:type="dxa"/>
            <w:textDirection w:val="lrTb"/>
            <w:noWrap w:val="false"/>
          </w:tcPr>
          <w:p>
            <w:r/>
            <w:r/>
          </w:p>
        </w:tc>
        <w:tc>
          <w:tcPr>
            <w:tcW w:w="1118" w:type="dxa"/>
            <w:textDirection w:val="lrTb"/>
            <w:noWrap w:val="false"/>
          </w:tcPr>
          <w:p>
            <w:r/>
            <w:r/>
          </w:p>
        </w:tc>
        <w:tc>
          <w:tcPr>
            <w:tcW w:w="907" w:type="dxa"/>
            <w:textDirection w:val="lrTb"/>
            <w:noWrap w:val="false"/>
          </w:tcPr>
          <w:p>
            <w:r/>
            <w:r/>
          </w:p>
        </w:tc>
        <w:tc>
          <w:tcPr>
            <w:tcW w:w="1262" w:type="dxa"/>
            <w:textDirection w:val="lrTb"/>
            <w:noWrap w:val="false"/>
          </w:tcPr>
          <w:p>
            <w:r/>
            <w:r/>
          </w:p>
        </w:tc>
        <w:tc>
          <w:tcPr>
            <w:tcW w:w="1232" w:type="dxa"/>
            <w:textDirection w:val="lrTb"/>
            <w:noWrap w:val="false"/>
          </w:tcPr>
          <w:p>
            <w:r/>
            <w:r/>
          </w:p>
        </w:tc>
        <w:tc>
          <w:tcPr>
            <w:tcW w:w="1208" w:type="dxa"/>
            <w:textDirection w:val="lrTb"/>
            <w:noWrap w:val="false"/>
          </w:tcPr>
          <w:p>
            <w:r/>
            <w:r/>
          </w:p>
        </w:tc>
      </w:tr>
      <w:tr>
        <w:trPr>
          <w:trHeight w:val="686"/>
        </w:trPr>
        <w:tc>
          <w:tcPr>
            <w:tcW w:w="906" w:type="dxa"/>
            <w:textDirection w:val="lrTb"/>
            <w:noWrap w:val="false"/>
          </w:tcPr>
          <w:p>
            <w:pPr>
              <w:pStyle w:val="1135"/>
              <w:ind w:left="253"/>
              <w:spacing w:before="267" w:line="184" w:lineRule="auto"/>
              <w:rPr>
                <w:sz w:val="22"/>
                <w:szCs w:val="22"/>
              </w:rPr>
            </w:pPr>
            <w:r>
              <w:rPr>
                <w:sz w:val="22"/>
                <w:szCs w:val="22"/>
              </w:rPr>
              <w:t xml:space="preserve">4</w:t>
            </w:r>
            <w:r/>
          </w:p>
        </w:tc>
        <w:tc>
          <w:tcPr>
            <w:tcW w:w="1300" w:type="dxa"/>
            <w:textDirection w:val="lrTb"/>
            <w:noWrap w:val="false"/>
          </w:tcPr>
          <w:p>
            <w:r/>
            <w:r/>
          </w:p>
        </w:tc>
        <w:tc>
          <w:tcPr>
            <w:tcW w:w="1814" w:type="dxa"/>
            <w:textDirection w:val="lrTb"/>
            <w:noWrap w:val="false"/>
          </w:tcPr>
          <w:p>
            <w:r/>
            <w:r/>
          </w:p>
        </w:tc>
        <w:tc>
          <w:tcPr>
            <w:tcW w:w="1118" w:type="dxa"/>
            <w:textDirection w:val="lrTb"/>
            <w:noWrap w:val="false"/>
          </w:tcPr>
          <w:p>
            <w:r/>
            <w:r/>
          </w:p>
        </w:tc>
        <w:tc>
          <w:tcPr>
            <w:tcW w:w="907" w:type="dxa"/>
            <w:textDirection w:val="lrTb"/>
            <w:noWrap w:val="false"/>
          </w:tcPr>
          <w:p>
            <w:r/>
            <w:r/>
          </w:p>
        </w:tc>
        <w:tc>
          <w:tcPr>
            <w:tcW w:w="1262" w:type="dxa"/>
            <w:textDirection w:val="lrTb"/>
            <w:noWrap w:val="false"/>
          </w:tcPr>
          <w:p>
            <w:r/>
            <w:r/>
          </w:p>
        </w:tc>
        <w:tc>
          <w:tcPr>
            <w:tcW w:w="1232" w:type="dxa"/>
            <w:textDirection w:val="lrTb"/>
            <w:noWrap w:val="false"/>
          </w:tcPr>
          <w:p>
            <w:r/>
            <w:r/>
          </w:p>
        </w:tc>
        <w:tc>
          <w:tcPr>
            <w:tcW w:w="1208" w:type="dxa"/>
            <w:textDirection w:val="lrTb"/>
            <w:noWrap w:val="false"/>
          </w:tcPr>
          <w:p>
            <w:r/>
            <w:r/>
          </w:p>
        </w:tc>
      </w:tr>
      <w:tr>
        <w:trPr>
          <w:trHeight w:val="844"/>
        </w:trPr>
        <w:tc>
          <w:tcPr>
            <w:tcW w:w="906" w:type="dxa"/>
            <w:textDirection w:val="lrTb"/>
            <w:noWrap w:val="false"/>
          </w:tcPr>
          <w:p>
            <w:pPr>
              <w:pStyle w:val="1135"/>
              <w:ind w:left="53"/>
              <w:spacing w:before="187" w:line="210" w:lineRule="auto"/>
              <w:rPr>
                <w:rFonts w:hint="eastAsia" w:eastAsia="宋体"/>
                <w:sz w:val="22"/>
                <w:szCs w:val="22"/>
                <w:lang w:eastAsia="zh-CN"/>
              </w:rPr>
            </w:pPr>
            <w:r>
              <w:rPr>
                <w:rFonts w:hint="eastAsia"/>
                <w:sz w:val="22"/>
                <w:szCs w:val="22"/>
                <w:lang w:eastAsia="zh-CN"/>
              </w:rPr>
              <w:t xml:space="preserve">合计（元）</w:t>
            </w:r>
            <w:r/>
          </w:p>
        </w:tc>
        <w:tc>
          <w:tcPr>
            <w:gridSpan w:val="7"/>
            <w:tcW w:w="8841" w:type="dxa"/>
            <w:textDirection w:val="lrTb"/>
            <w:noWrap w:val="false"/>
          </w:tcPr>
          <w:p>
            <w:pPr>
              <w:pStyle w:val="1135"/>
              <w:ind w:left="115"/>
              <w:spacing w:before="196" w:line="222" w:lineRule="auto"/>
              <w:rPr>
                <w:sz w:val="22"/>
                <w:szCs w:val="22"/>
              </w:rPr>
            </w:pPr>
            <w:r>
              <w:rPr>
                <w:spacing w:val="-5"/>
                <w:sz w:val="22"/>
                <w:szCs w:val="22"/>
              </w:rPr>
              <w:t xml:space="preserve">大写：</w:t>
            </w:r>
            <w:r>
              <w:rPr>
                <w:sz w:val="22"/>
                <w:szCs w:val="22"/>
              </w:rPr>
              <w:t xml:space="preserve">                                </w:t>
            </w:r>
            <w:r>
              <w:rPr>
                <w:spacing w:val="-5"/>
                <w:sz w:val="22"/>
                <w:szCs w:val="22"/>
              </w:rPr>
              <w:t xml:space="preserve">小写：</w:t>
            </w:r>
            <w:r/>
          </w:p>
        </w:tc>
      </w:tr>
    </w:tbl>
    <w:p>
      <w:pPr>
        <w:keepNext w:val="0"/>
        <w:pageBreakBefore w:val="0"/>
        <w:spacing w:line="360" w:lineRule="auto"/>
        <w:rPr>
          <w:rFonts w:hint="eastAsia" w:ascii="宋体" w:hAnsi="宋体" w:cs="宋体"/>
          <w:color w:val="auto"/>
          <w:sz w:val="24"/>
          <w:szCs w:val="32"/>
        </w:rPr>
      </w:pPr>
      <w:r>
        <w:rPr>
          <w:rFonts w:hint="eastAsia" w:ascii="宋体" w:hAnsi="宋体" w:cs="宋体"/>
          <w:color w:val="auto"/>
          <w:sz w:val="24"/>
          <w:szCs w:val="32"/>
        </w:rPr>
        <w:t xml:space="preserve">投标单位（必须盖公章）：</w:t>
      </w:r>
      <w:r/>
    </w:p>
    <w:p>
      <w:pPr>
        <w:keepNext w:val="0"/>
        <w:pageBreakBefore w:val="0"/>
        <w:spacing w:line="360" w:lineRule="auto"/>
        <w:rPr>
          <w:rFonts w:hint="eastAsia" w:ascii="宋体" w:hAnsi="宋体" w:cs="宋体"/>
          <w:color w:val="auto"/>
          <w:sz w:val="24"/>
          <w:szCs w:val="32"/>
        </w:rPr>
      </w:pPr>
      <w:r>
        <w:rPr>
          <w:rFonts w:hint="eastAsia" w:ascii="宋体" w:hAnsi="宋体" w:cs="宋体"/>
          <w:color w:val="auto"/>
          <w:sz w:val="24"/>
          <w:szCs w:val="32"/>
        </w:rPr>
        <w:t xml:space="preserve">联系电话（必须填写）：</w:t>
      </w:r>
      <w:r/>
    </w:p>
    <w:p>
      <w:pPr>
        <w:keepNext w:val="0"/>
        <w:pageBreakBefore w:val="0"/>
        <w:spacing w:line="360" w:lineRule="auto"/>
        <w:rPr>
          <w:rFonts w:hint="eastAsia" w:ascii="宋体" w:hAnsi="宋体" w:cs="宋体"/>
          <w:color w:val="auto"/>
        </w:rPr>
      </w:pPr>
      <w:r>
        <w:rPr>
          <w:rFonts w:hint="eastAsia" w:ascii="宋体" w:hAnsi="宋体" w:cs="宋体"/>
          <w:color w:val="auto"/>
          <w:sz w:val="24"/>
          <w:szCs w:val="32"/>
        </w:rPr>
        <w:t xml:space="preserve">日期：     年     月     日</w:t>
      </w:r>
      <w:r/>
    </w:p>
    <w:p>
      <w:pPr>
        <w:pStyle w:val="1010"/>
        <w:keepNext w:val="0"/>
        <w:pageBreakBefore w:val="0"/>
        <w:spacing w:line="360" w:lineRule="auto"/>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注： </w:t>
      </w:r>
      <w:r/>
    </w:p>
    <w:p>
      <w:pPr>
        <w:pStyle w:val="1010"/>
        <w:keepNext w:val="0"/>
        <w:pageBreakBefore w:val="0"/>
        <w:spacing w:line="360" w:lineRule="auto"/>
        <w:rPr>
          <w:rFonts w:hint="eastAsia" w:ascii="宋体" w:hAnsi="宋体" w:eastAsia="宋体" w:cs="宋体"/>
          <w:bCs/>
          <w:color w:val="auto"/>
          <w:sz w:val="24"/>
          <w:szCs w:val="22"/>
        </w:rPr>
      </w:pPr>
      <w:r>
        <w:rPr>
          <w:rFonts w:hint="eastAsia" w:ascii="宋体" w:hAnsi="宋体" w:eastAsia="宋体" w:cs="宋体"/>
          <w:bCs/>
          <w:color w:val="auto"/>
          <w:sz w:val="24"/>
          <w:szCs w:val="22"/>
          <w:lang w:eastAsia="zh-CN"/>
        </w:rPr>
        <w:t xml:space="preserve">1.</w:t>
      </w:r>
      <w:r>
        <w:rPr>
          <w:rFonts w:hint="eastAsia" w:ascii="宋体" w:hAnsi="宋体" w:eastAsia="宋体" w:cs="宋体"/>
          <w:bCs/>
          <w:color w:val="auto"/>
          <w:sz w:val="24"/>
          <w:szCs w:val="22"/>
        </w:rPr>
        <w:t xml:space="preserve">所有价格</w:t>
      </w:r>
      <w:r>
        <w:rPr>
          <w:rFonts w:hint="eastAsia" w:hAnsi="宋体" w:cs="宋体"/>
          <w:bCs/>
          <w:color w:val="auto"/>
          <w:sz w:val="24"/>
          <w:szCs w:val="22"/>
          <w:lang w:eastAsia="zh-CN"/>
        </w:rPr>
        <w:t xml:space="preserve">采</w:t>
      </w:r>
      <w:r>
        <w:rPr>
          <w:rFonts w:hint="eastAsia" w:ascii="宋体" w:hAnsi="宋体" w:eastAsia="宋体" w:cs="宋体"/>
          <w:bCs/>
          <w:color w:val="auto"/>
          <w:sz w:val="24"/>
          <w:szCs w:val="22"/>
          <w:lang w:val="en-US" w:eastAsia="zh-CN"/>
        </w:rPr>
        <w:t xml:space="preserve">用</w:t>
      </w:r>
      <w:r>
        <w:rPr>
          <w:rFonts w:hint="eastAsia" w:ascii="宋体" w:hAnsi="宋体" w:eastAsia="宋体" w:cs="宋体"/>
          <w:bCs/>
          <w:color w:val="auto"/>
          <w:sz w:val="24"/>
          <w:szCs w:val="22"/>
        </w:rPr>
        <w:t xml:space="preserve">人民币表示。</w:t>
      </w:r>
      <w:r/>
    </w:p>
    <w:p>
      <w:pPr>
        <w:pStyle w:val="1010"/>
        <w:keepNext w:val="0"/>
        <w:pageBreakBefore w:val="0"/>
        <w:spacing w:line="360" w:lineRule="auto"/>
        <w:rPr>
          <w:rFonts w:hint="eastAsia" w:ascii="宋体" w:hAnsi="宋体" w:eastAsia="宋体" w:cs="宋体"/>
          <w:bCs/>
          <w:color w:val="auto"/>
          <w:sz w:val="24"/>
          <w:szCs w:val="22"/>
        </w:rPr>
      </w:pPr>
      <w:r>
        <w:rPr>
          <w:rFonts w:hint="eastAsia" w:ascii="宋体" w:hAnsi="宋体" w:eastAsia="宋体" w:cs="宋体"/>
          <w:bCs/>
          <w:color w:val="auto"/>
          <w:sz w:val="24"/>
          <w:szCs w:val="22"/>
          <w:lang w:eastAsia="zh-CN"/>
        </w:rPr>
        <w:t xml:space="preserve">2.</w:t>
      </w:r>
      <w:r>
        <w:rPr>
          <w:rFonts w:hint="eastAsia" w:ascii="宋体" w:hAnsi="宋体" w:eastAsia="宋体" w:cs="宋体"/>
          <w:bCs/>
          <w:color w:val="auto"/>
          <w:sz w:val="24"/>
          <w:szCs w:val="22"/>
        </w:rPr>
        <w:t xml:space="preserve">投标人的报价应包括人员、保险、税金、售后服务等所有费用，</w:t>
      </w:r>
      <w:r>
        <w:rPr>
          <w:rFonts w:hint="eastAsia" w:ascii="宋体" w:hAnsi="宋体" w:eastAsia="宋体" w:cs="宋体"/>
          <w:bCs/>
          <w:color w:val="auto"/>
          <w:sz w:val="24"/>
          <w:szCs w:val="22"/>
          <w:lang w:eastAsia="zh-CN"/>
        </w:rPr>
        <w:t xml:space="preserve">招标人</w:t>
      </w:r>
      <w:r>
        <w:rPr>
          <w:rFonts w:hint="eastAsia" w:ascii="宋体" w:hAnsi="宋体" w:eastAsia="宋体" w:cs="宋体"/>
          <w:bCs/>
          <w:color w:val="auto"/>
          <w:sz w:val="24"/>
          <w:szCs w:val="22"/>
        </w:rPr>
        <w:t xml:space="preserve">不再支付任何其他费用。</w:t>
      </w:r>
      <w:r/>
    </w:p>
    <w:p>
      <w:pPr>
        <w:pStyle w:val="1010"/>
        <w:keepNext w:val="0"/>
        <w:pageBreakBefore w:val="0"/>
        <w:spacing w:line="360" w:lineRule="auto"/>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lang w:eastAsia="zh-CN"/>
        </w:rPr>
        <w:t xml:space="preserve">3.报价必须机打，手工填写按无效标处理。</w:t>
      </w:r>
      <w:r/>
    </w:p>
    <w:p>
      <w:pPr>
        <w:pStyle w:val="1010"/>
        <w:keepNext w:val="0"/>
        <w:pageBreakBefore w:val="0"/>
        <w:spacing w:line="360" w:lineRule="auto"/>
        <w:rPr>
          <w:rFonts w:hint="eastAsia" w:ascii="宋体" w:hAnsi="宋体" w:eastAsia="宋体" w:cs="宋体"/>
          <w:bCs/>
          <w:color w:val="auto"/>
          <w:sz w:val="24"/>
          <w:szCs w:val="22"/>
          <w:lang w:val="en-US" w:eastAsia="zh-CN"/>
        </w:rPr>
      </w:pPr>
      <w:r>
        <w:rPr>
          <w:rFonts w:hint="eastAsia" w:ascii="宋体" w:hAnsi="宋体" w:eastAsia="宋体" w:cs="宋体"/>
          <w:bCs/>
          <w:color w:val="auto"/>
          <w:sz w:val="24"/>
          <w:szCs w:val="22"/>
          <w:lang w:eastAsia="zh-CN"/>
        </w:rPr>
        <w:t xml:space="preserve">4.此表不够可复制放大。</w:t>
      </w:r>
      <w:r/>
    </w:p>
    <w:p>
      <w:pPr>
        <w:pStyle w:val="1010"/>
        <w:keepNext w:val="0"/>
        <w:pageBreakBefore w:val="0"/>
        <w:spacing w:line="360" w:lineRule="auto"/>
        <w:rPr>
          <w:rFonts w:hint="eastAsia" w:ascii="宋体" w:hAnsi="宋体" w:eastAsia="宋体" w:cs="宋体"/>
          <w:bCs/>
          <w:color w:val="auto"/>
          <w:sz w:val="24"/>
          <w:szCs w:val="22"/>
          <w:lang w:val="en-US" w:eastAsia="zh-CN"/>
        </w:rPr>
      </w:pPr>
      <w:r>
        <w:rPr>
          <w:rFonts w:hint="eastAsia" w:ascii="宋体" w:hAnsi="宋体" w:eastAsia="宋体" w:cs="宋体"/>
          <w:bCs/>
          <w:color w:val="auto"/>
          <w:sz w:val="24"/>
          <w:szCs w:val="22"/>
          <w:lang w:val="en-US" w:eastAsia="zh-CN"/>
        </w:rPr>
        <w:t xml:space="preserve">5.投标人应按照招标文件要求填写单价与总价。</w:t>
      </w:r>
      <w:r/>
    </w:p>
    <w:p>
      <w:pPr>
        <w:rPr>
          <w:rFonts w:hint="eastAsia" w:ascii="仿宋" w:hAnsi="仿宋" w:eastAsia="仿宋"/>
          <w:b/>
          <w:color w:val="auto"/>
          <w:sz w:val="32"/>
          <w:szCs w:val="32"/>
        </w:rPr>
      </w:pPr>
      <w:r>
        <w:rPr>
          <w:rFonts w:hint="eastAsia" w:ascii="仿宋" w:hAnsi="仿宋" w:eastAsia="仿宋"/>
          <w:b/>
          <w:color w:val="auto"/>
          <w:sz w:val="32"/>
          <w:szCs w:val="32"/>
        </w:rPr>
        <w:br w:type="page" w:clear="all"/>
      </w:r>
      <w:r/>
    </w:p>
    <w:p>
      <w:pPr>
        <w:numPr>
          <w:ilvl w:val="0"/>
          <w:numId w:val="0"/>
        </w:numPr>
        <w:jc w:val="center"/>
        <w:keepNext w:val="0"/>
        <w:pageBreakBefore w:val="0"/>
        <w:spacing w:before="19" w:line="360" w:lineRule="auto"/>
        <w:widowControl/>
        <w:rPr>
          <w:rFonts w:hint="eastAsia" w:ascii="宋体" w:hAnsi="宋体" w:eastAsia="宋体" w:cs="宋体"/>
          <w:b/>
          <w:color w:val="auto"/>
          <w:sz w:val="28"/>
          <w:szCs w:val="28"/>
        </w:rPr>
      </w:pPr>
      <w:r>
        <w:rPr>
          <w:rFonts w:hint="eastAsia" w:ascii="宋体" w:hAnsi="宋体" w:cs="宋体"/>
          <w:b/>
          <w:bCs w:val="0"/>
          <w:color w:val="auto"/>
          <w:sz w:val="32"/>
          <w:szCs w:val="32"/>
          <w:lang w:val="en-US" w:eastAsia="zh-CN"/>
        </w:rPr>
        <w:t xml:space="preserve">四</w:t>
      </w:r>
      <w:r>
        <w:rPr>
          <w:rFonts w:hint="eastAsia" w:ascii="宋体" w:hAnsi="宋体" w:eastAsia="宋体" w:cs="宋体"/>
          <w:b/>
          <w:bCs w:val="0"/>
          <w:color w:val="auto"/>
          <w:sz w:val="32"/>
          <w:szCs w:val="32"/>
          <w:lang w:val="en-US" w:eastAsia="zh-CN"/>
        </w:rPr>
        <w:t xml:space="preserve">、</w:t>
      </w:r>
      <w:r>
        <w:rPr>
          <w:rFonts w:hint="eastAsia" w:ascii="宋体" w:hAnsi="宋体" w:eastAsia="宋体" w:cs="宋体"/>
          <w:b/>
          <w:bCs w:val="0"/>
          <w:color w:val="auto"/>
          <w:sz w:val="32"/>
          <w:szCs w:val="32"/>
        </w:rPr>
        <w:t xml:space="preserve">投标人基本信息</w:t>
      </w:r>
      <w:r/>
    </w:p>
    <w:p>
      <w:pPr>
        <w:keepNext w:val="0"/>
        <w:pageBreakBefore w:val="0"/>
        <w:spacing w:before="19" w:line="360" w:lineRule="auto"/>
        <w:widowControl/>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表一：</w:t>
      </w:r>
      <w:r/>
    </w:p>
    <w:tbl>
      <w:tblPr>
        <w:tblStyle w:val="81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2766"/>
        <w:gridCol w:w="2040"/>
        <w:gridCol w:w="2495"/>
      </w:tblGrid>
      <w:tr>
        <w:trPr>
          <w:jc w:val="center"/>
          <w:trHeight w:val="1080"/>
        </w:trPr>
        <w:tc>
          <w:tcPr>
            <w:tcW w:w="1335"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w:t>
            </w:r>
            <w:r/>
          </w:p>
        </w:tc>
        <w:tc>
          <w:tcPr>
            <w:gridSpan w:val="3"/>
            <w:tcW w:w="3664"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c>
          <w:tcPr>
            <w:tcW w:w="1388"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注册地</w:t>
            </w:r>
            <w:r/>
          </w:p>
        </w:tc>
        <w:tc>
          <w:tcPr>
            <w:tcW w:w="1250"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注册资金（万元）</w:t>
            </w:r>
            <w:r/>
          </w:p>
        </w:tc>
        <w:tc>
          <w:tcPr>
            <w:tcW w:w="1388"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成立日期</w:t>
            </w:r>
            <w:r/>
          </w:p>
        </w:tc>
        <w:tc>
          <w:tcPr>
            <w:tcW w:w="1250"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类型</w:t>
            </w:r>
            <w:r/>
          </w:p>
        </w:tc>
        <w:tc>
          <w:tcPr>
            <w:tcW w:w="1388"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营业期限</w:t>
            </w:r>
            <w:r/>
          </w:p>
        </w:tc>
        <w:tc>
          <w:tcPr>
            <w:tcW w:w="1250"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登记机关</w:t>
            </w:r>
            <w:r/>
          </w:p>
        </w:tc>
        <w:tc>
          <w:tcPr>
            <w:tcW w:w="1388"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住  所</w:t>
            </w:r>
            <w:r/>
          </w:p>
        </w:tc>
        <w:tc>
          <w:tcPr>
            <w:tcW w:w="1250"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注册号或社会信用代码</w:t>
            </w:r>
            <w:r/>
          </w:p>
        </w:tc>
        <w:tc>
          <w:tcPr>
            <w:gridSpan w:val="3"/>
            <w:tcW w:w="3664"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经营范围</w:t>
            </w:r>
            <w:r/>
          </w:p>
        </w:tc>
        <w:tc>
          <w:tcPr>
            <w:gridSpan w:val="3"/>
            <w:tcW w:w="3664"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c>
          <w:tcPr>
            <w:gridSpan w:val="3"/>
            <w:tcW w:w="3664"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Next w:val="0"/>
        <w:pageBreakBefore w:val="0"/>
        <w:spacing w:before="19" w:line="360" w:lineRule="auto"/>
        <w:widowControl/>
        <w:rPr>
          <w:rFonts w:hint="eastAsia" w:ascii="宋体" w:hAnsi="宋体" w:eastAsia="宋体" w:cs="宋体"/>
          <w:b/>
          <w:color w:val="auto"/>
          <w:sz w:val="28"/>
          <w:szCs w:val="28"/>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（电子</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rPr>
          <w:rFonts w:hint="eastAsia" w:ascii="宋体" w:hAnsi="宋体" w:eastAsia="宋体" w:cs="宋体"/>
          <w:bCs/>
          <w:color w:val="auto"/>
          <w:sz w:val="28"/>
          <w:szCs w:val="28"/>
        </w:rPr>
      </w:pPr>
      <w:r>
        <w:rPr>
          <w:rFonts w:hint="eastAsia" w:ascii="宋体" w:hAnsi="宋体" w:eastAsia="宋体" w:cs="宋体"/>
          <w:bCs/>
          <w:color w:val="auto"/>
          <w:sz w:val="28"/>
          <w:szCs w:val="28"/>
        </w:rPr>
        <w:br w:type="page" w:clear="all"/>
      </w:r>
      <w:r/>
    </w:p>
    <w:p>
      <w:pPr>
        <w:keepNext w:val="0"/>
        <w:pageBreakBefore w:val="0"/>
        <w:spacing w:before="19" w:line="360" w:lineRule="auto"/>
        <w:widowControl/>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表二：</w:t>
      </w:r>
      <w:r/>
    </w:p>
    <w:tbl>
      <w:tblPr>
        <w:tblStyle w:val="81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2764"/>
        <w:gridCol w:w="2038"/>
        <w:gridCol w:w="2499"/>
      </w:tblGrid>
      <w:tr>
        <w:trPr>
          <w:jc w:val="center"/>
          <w:trHeight w:val="1127"/>
        </w:trPr>
        <w:tc>
          <w:tcPr>
            <w:tcW w:w="1335"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w:t>
            </w:r>
            <w:r/>
          </w:p>
        </w:tc>
        <w:tc>
          <w:tcPr>
            <w:gridSpan w:val="3"/>
            <w:tcW w:w="3664"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c>
          <w:tcPr>
            <w:tcW w:w="1387"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开办资金</w:t>
            </w:r>
            <w:r/>
          </w:p>
        </w:tc>
        <w:tc>
          <w:tcPr>
            <w:tcW w:w="1252"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经费来源</w:t>
            </w:r>
            <w:r/>
          </w:p>
        </w:tc>
        <w:tc>
          <w:tcPr>
            <w:tcW w:w="1387"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举办单位</w:t>
            </w:r>
            <w:r/>
          </w:p>
        </w:tc>
        <w:tc>
          <w:tcPr>
            <w:tcW w:w="1252"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住所</w:t>
            </w:r>
            <w:r/>
          </w:p>
        </w:tc>
        <w:tc>
          <w:tcPr>
            <w:tcW w:w="1387"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有效期</w:t>
            </w:r>
            <w:r/>
          </w:p>
        </w:tc>
        <w:tc>
          <w:tcPr>
            <w:tcW w:w="1252"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w:t>
            </w:r>
            <w:r/>
          </w:p>
        </w:tc>
        <w:tc>
          <w:tcPr>
            <w:tcW w:w="1387"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登记机关</w:t>
            </w:r>
            <w:r/>
          </w:p>
        </w:tc>
        <w:tc>
          <w:tcPr>
            <w:tcW w:w="1252"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业务范围</w:t>
            </w:r>
            <w:r/>
          </w:p>
        </w:tc>
        <w:tc>
          <w:tcPr>
            <w:gridSpan w:val="3"/>
            <w:tcW w:w="3664"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c>
          <w:tcPr>
            <w:gridSpan w:val="3"/>
            <w:tcW w:w="3664" w:type="pct"/>
            <w:vAlign w:val="center"/>
            <w:textDirection w:val="lrTb"/>
            <w:noWrap w:val="false"/>
          </w:tcPr>
          <w:p>
            <w:pPr>
              <w:pStyle w:val="1124"/>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Next w:val="0"/>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（电子</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keepNext w:val="0"/>
        <w:pageBreakBefore w:val="0"/>
        <w:spacing w:line="360" w:lineRule="auto"/>
        <w:rPr>
          <w:rFonts w:hint="eastAsia" w:hAnsi="宋体" w:cs="宋体"/>
          <w:color w:val="auto"/>
        </w:rPr>
      </w:pPr>
      <w:r>
        <w:rPr>
          <w:rFonts w:hint="eastAsia" w:ascii="宋体" w:hAnsi="宋体" w:eastAsia="宋体" w:cs="宋体"/>
          <w:b/>
          <w:bCs w:val="0"/>
          <w:color w:val="auto"/>
          <w:sz w:val="28"/>
          <w:szCs w:val="28"/>
        </w:rPr>
        <w:t xml:space="preserve">注：</w:t>
      </w:r>
      <w:r>
        <w:rPr>
          <w:rFonts w:hint="eastAsia" w:ascii="宋体" w:hAnsi="宋体" w:cs="宋体"/>
          <w:b/>
          <w:bCs w:val="0"/>
          <w:color w:val="auto"/>
          <w:sz w:val="28"/>
          <w:szCs w:val="28"/>
          <w:lang w:eastAsia="zh-CN"/>
        </w:rPr>
        <w:t xml:space="preserve">投标人</w:t>
      </w:r>
      <w:r>
        <w:rPr>
          <w:rFonts w:hint="eastAsia" w:ascii="宋体" w:hAnsi="宋体" w:eastAsia="宋体" w:cs="宋体"/>
          <w:b/>
          <w:bCs w:val="0"/>
          <w:color w:val="auto"/>
          <w:sz w:val="28"/>
          <w:szCs w:val="28"/>
        </w:rPr>
        <w:t xml:space="preserve">为企业的，填写表一；</w:t>
      </w:r>
      <w:r>
        <w:rPr>
          <w:rFonts w:hint="eastAsia" w:ascii="宋体" w:hAnsi="宋体" w:cs="宋体"/>
          <w:b/>
          <w:bCs w:val="0"/>
          <w:color w:val="auto"/>
          <w:sz w:val="28"/>
          <w:szCs w:val="28"/>
          <w:lang w:eastAsia="zh-CN"/>
        </w:rPr>
        <w:t xml:space="preserve">投标人</w:t>
      </w:r>
      <w:r>
        <w:rPr>
          <w:rFonts w:hint="eastAsia" w:ascii="宋体" w:hAnsi="宋体" w:eastAsia="宋体" w:cs="宋体"/>
          <w:b/>
          <w:bCs w:val="0"/>
          <w:color w:val="auto"/>
          <w:sz w:val="28"/>
          <w:szCs w:val="28"/>
        </w:rPr>
        <w:t xml:space="preserve">为事业单位的，填写表二。</w:t>
      </w:r>
      <w:r/>
    </w:p>
    <w:p>
      <w:pPr>
        <w:rPr>
          <w:rFonts w:hint="eastAsia" w:ascii="宋体" w:hAnsi="宋体" w:cs="宋体"/>
          <w:b/>
          <w:bCs/>
          <w:color w:val="auto"/>
          <w:sz w:val="32"/>
          <w:szCs w:val="32"/>
          <w:lang w:val="en-US" w:eastAsia="zh-CN"/>
        </w:rPr>
      </w:pPr>
      <w:r/>
      <w:bookmarkStart w:id="18" w:name="_Toc18359_WPSOffice_Level1"/>
      <w:r>
        <w:rPr>
          <w:rFonts w:hint="eastAsia" w:ascii="宋体" w:hAnsi="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五</w:t>
      </w:r>
      <w:r>
        <w:rPr>
          <w:rFonts w:hint="eastAsia" w:ascii="宋体" w:hAnsi="宋体" w:eastAsia="宋体" w:cs="宋体"/>
          <w:b/>
          <w:bCs/>
          <w:color w:val="auto"/>
          <w:sz w:val="32"/>
          <w:szCs w:val="32"/>
        </w:rPr>
        <w:t xml:space="preserve">、</w:t>
      </w:r>
      <w:r>
        <w:rPr>
          <w:rFonts w:hint="eastAsia"/>
          <w:b/>
          <w:bCs/>
          <w:color w:val="auto"/>
          <w:spacing w:val="-3"/>
          <w:sz w:val="32"/>
          <w:szCs w:val="32"/>
          <w:lang w:val="en-US" w:eastAsia="zh-CN"/>
        </w:rPr>
        <w:t xml:space="preserve">人员配备表</w:t>
      </w:r>
      <w:r/>
    </w:p>
    <w:tbl>
      <w:tblPr>
        <w:tblStyle w:val="81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1242"/>
        <w:gridCol w:w="1064"/>
        <w:gridCol w:w="1200"/>
        <w:gridCol w:w="1200"/>
        <w:gridCol w:w="1106"/>
        <w:gridCol w:w="1477"/>
        <w:gridCol w:w="1614"/>
      </w:tblGrid>
      <w:tr>
        <w:trPr>
          <w:jc w:val="center"/>
          <w:trHeight w:val="1134" w:hRule="exact"/>
        </w:trPr>
        <w:tc>
          <w:tcPr>
            <w:tcW w:w="528"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序号</w:t>
            </w:r>
            <w:r/>
          </w:p>
        </w:tc>
        <w:tc>
          <w:tcPr>
            <w:tcW w:w="623"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姓名</w:t>
            </w:r>
            <w:r/>
          </w:p>
        </w:tc>
        <w:tc>
          <w:tcPr>
            <w:tcW w:w="534"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年龄</w:t>
            </w:r>
            <w:r/>
          </w:p>
        </w:tc>
        <w:tc>
          <w:tcPr>
            <w:tcW w:w="602"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学历</w:t>
            </w:r>
            <w:r/>
          </w:p>
        </w:tc>
        <w:tc>
          <w:tcPr>
            <w:tcW w:w="602"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专业</w:t>
            </w:r>
            <w:r/>
          </w:p>
        </w:tc>
        <w:tc>
          <w:tcPr>
            <w:tcW w:w="555"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职称</w:t>
            </w:r>
            <w:r/>
          </w:p>
        </w:tc>
        <w:tc>
          <w:tcPr>
            <w:tcW w:w="741" w:type="pct"/>
            <w:vAlign w:val="center"/>
            <w:textDirection w:val="lrTb"/>
            <w:noWrap w:val="false"/>
          </w:tcPr>
          <w:p>
            <w:pPr>
              <w:jc w:val="center"/>
              <w:spacing w:line="480" w:lineRule="exact"/>
              <w:rPr>
                <w:rFonts w:hint="eastAsia" w:ascii="宋体" w:hAnsi="宋体" w:eastAsia="宋体"/>
                <w:color w:val="auto"/>
                <w:sz w:val="24"/>
                <w:lang w:eastAsia="zh-CN"/>
              </w:rPr>
            </w:pPr>
            <w:r>
              <w:rPr>
                <w:rFonts w:hint="eastAsia" w:ascii="宋体" w:hAnsi="宋体"/>
                <w:color w:val="auto"/>
                <w:sz w:val="24"/>
              </w:rPr>
              <w:t xml:space="preserve">相关证书</w:t>
            </w:r>
            <w:r>
              <w:rPr>
                <w:rFonts w:hint="eastAsia" w:ascii="宋体" w:hAnsi="宋体"/>
                <w:color w:val="auto"/>
                <w:sz w:val="24"/>
                <w:lang w:eastAsia="zh-CN"/>
              </w:rPr>
              <w:t xml:space="preserve">（编号）</w:t>
            </w:r>
            <w:r/>
          </w:p>
        </w:tc>
        <w:tc>
          <w:tcPr>
            <w:tcW w:w="810"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拟任职务</w:t>
            </w:r>
            <w:r/>
          </w:p>
        </w:tc>
      </w:tr>
      <w:tr>
        <w:trPr>
          <w:jc w:val="center"/>
          <w:trHeight w:val="850" w:hRule="exact"/>
        </w:trPr>
        <w:tc>
          <w:tcPr>
            <w:tcW w:w="528" w:type="pct"/>
            <w:vAlign w:val="center"/>
            <w:textDirection w:val="lrTb"/>
            <w:noWrap w:val="false"/>
          </w:tcPr>
          <w:p>
            <w:pPr>
              <w:pStyle w:val="1135"/>
              <w:ind w:left="0"/>
              <w:jc w:val="center"/>
              <w:spacing w:line="240" w:lineRule="auto"/>
              <w:rPr>
                <w:rFonts w:ascii="宋体" w:hAnsi="宋体"/>
                <w:color w:val="auto"/>
                <w:sz w:val="28"/>
              </w:rPr>
            </w:pPr>
            <w:r>
              <w:rPr>
                <w:color w:val="auto"/>
              </w:rPr>
              <w:t xml:space="preserve">1</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Height w:val="850" w:hRule="exact"/>
        </w:trPr>
        <w:tc>
          <w:tcPr>
            <w:tcW w:w="528" w:type="pct"/>
            <w:vAlign w:val="center"/>
            <w:textDirection w:val="lrTb"/>
            <w:noWrap w:val="false"/>
          </w:tcPr>
          <w:p>
            <w:pPr>
              <w:ind w:left="0"/>
              <w:jc w:val="center"/>
              <w:spacing w:line="240" w:lineRule="auto"/>
              <w:rPr>
                <w:color w:val="auto"/>
              </w:rPr>
            </w:pPr>
            <w:r>
              <w:rPr>
                <w:color w:val="auto"/>
              </w:rPr>
            </w:r>
            <w:r/>
          </w:p>
          <w:p>
            <w:pPr>
              <w:pStyle w:val="1135"/>
              <w:ind w:left="0"/>
              <w:jc w:val="center"/>
              <w:spacing w:line="240" w:lineRule="auto"/>
              <w:rPr>
                <w:rFonts w:ascii="宋体" w:hAnsi="宋体"/>
                <w:color w:val="auto"/>
                <w:sz w:val="28"/>
              </w:rPr>
            </w:pPr>
            <w:r>
              <w:rPr>
                <w:color w:val="auto"/>
              </w:rPr>
              <w:t xml:space="preserve">2</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Height w:val="850" w:hRule="exact"/>
        </w:trPr>
        <w:tc>
          <w:tcPr>
            <w:tcW w:w="528" w:type="pct"/>
            <w:vAlign w:val="center"/>
            <w:textDirection w:val="lrTb"/>
            <w:noWrap w:val="false"/>
          </w:tcPr>
          <w:p>
            <w:pPr>
              <w:ind w:left="0"/>
              <w:jc w:val="center"/>
              <w:spacing w:line="240" w:lineRule="auto"/>
              <w:rPr>
                <w:color w:val="auto"/>
              </w:rPr>
            </w:pPr>
            <w:r>
              <w:rPr>
                <w:color w:val="auto"/>
              </w:rPr>
            </w:r>
            <w:r/>
          </w:p>
          <w:p>
            <w:pPr>
              <w:pStyle w:val="1135"/>
              <w:ind w:left="0"/>
              <w:jc w:val="center"/>
              <w:spacing w:line="240" w:lineRule="auto"/>
              <w:rPr>
                <w:rFonts w:ascii="宋体" w:hAnsi="宋体"/>
                <w:color w:val="auto"/>
                <w:sz w:val="28"/>
              </w:rPr>
            </w:pPr>
            <w:r>
              <w:rPr>
                <w:color w:val="auto"/>
              </w:rPr>
              <w:t xml:space="preserve">3</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Height w:val="850" w:hRule="exact"/>
        </w:trPr>
        <w:tc>
          <w:tcPr>
            <w:tcW w:w="528" w:type="pct"/>
            <w:vAlign w:val="center"/>
            <w:textDirection w:val="lrTb"/>
            <w:noWrap w:val="false"/>
          </w:tcPr>
          <w:p>
            <w:pPr>
              <w:pStyle w:val="1135"/>
              <w:ind w:left="0"/>
              <w:jc w:val="center"/>
              <w:spacing w:line="240" w:lineRule="auto"/>
              <w:rPr>
                <w:rFonts w:ascii="宋体" w:hAnsi="宋体"/>
                <w:color w:val="auto"/>
                <w:sz w:val="28"/>
              </w:rPr>
            </w:pPr>
            <w:r>
              <w:rPr>
                <w:color w:val="auto"/>
              </w:rPr>
              <w:t xml:space="preserve">4</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Height w:val="850" w:hRule="exact"/>
        </w:trPr>
        <w:tc>
          <w:tcPr>
            <w:tcW w:w="528" w:type="pct"/>
            <w:vAlign w:val="center"/>
            <w:textDirection w:val="lrTb"/>
            <w:noWrap w:val="false"/>
          </w:tcPr>
          <w:p>
            <w:pPr>
              <w:pStyle w:val="1135"/>
              <w:ind w:left="0"/>
              <w:jc w:val="center"/>
              <w:spacing w:line="240" w:lineRule="auto"/>
              <w:rPr>
                <w:rFonts w:ascii="宋体" w:hAnsi="宋体"/>
                <w:color w:val="auto"/>
                <w:sz w:val="28"/>
              </w:rPr>
            </w:pPr>
            <w:r>
              <w:rPr>
                <w:color w:val="auto"/>
              </w:rPr>
              <w:t xml:space="preserve">5</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Height w:val="850" w:hRule="exact"/>
        </w:trPr>
        <w:tc>
          <w:tcPr>
            <w:tcW w:w="528" w:type="pct"/>
            <w:vAlign w:val="center"/>
            <w:textDirection w:val="lrTb"/>
            <w:noWrap w:val="false"/>
          </w:tcPr>
          <w:p>
            <w:pPr>
              <w:pStyle w:val="1135"/>
              <w:ind w:left="0"/>
              <w:jc w:val="center"/>
              <w:spacing w:line="240" w:lineRule="auto"/>
              <w:rPr>
                <w:rFonts w:ascii="宋体" w:hAnsi="宋体"/>
                <w:color w:val="auto"/>
                <w:sz w:val="28"/>
              </w:rPr>
            </w:pPr>
            <w:r>
              <w:rPr>
                <w:color w:val="auto"/>
                <w:position w:val="3"/>
              </w:rPr>
              <w:t xml:space="preserve">…</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bl>
    <w:p>
      <w:pPr>
        <w:jc w:val="both"/>
        <w:keepNext w:val="0"/>
        <w:pageBreakBefore w:val="0"/>
        <w:spacing w:line="360" w:lineRule="auto"/>
        <w:rPr>
          <w:rFonts w:hint="eastAsia" w:ascii="宋体" w:hAnsi="宋体" w:eastAsia="宋体" w:cs="宋体"/>
          <w:b w:val="0"/>
          <w:bCs w:val="0"/>
          <w:color w:val="auto"/>
          <w:spacing w:val="-1"/>
          <w:sz w:val="28"/>
          <w:szCs w:val="28"/>
        </w:rPr>
      </w:pPr>
      <w:r>
        <w:rPr>
          <w:rFonts w:hint="eastAsia" w:ascii="宋体" w:hAnsi="宋体" w:eastAsia="宋体" w:cs="宋体"/>
          <w:b w:val="0"/>
          <w:bCs w:val="0"/>
          <w:color w:val="auto"/>
          <w:spacing w:val="-1"/>
          <w:sz w:val="28"/>
          <w:szCs w:val="28"/>
        </w:rPr>
      </w:r>
      <w:r/>
    </w:p>
    <w:p>
      <w:pPr>
        <w:jc w:val="both"/>
        <w:keepNext w:val="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b w:val="0"/>
          <w:bCs w:val="0"/>
          <w:color w:val="auto"/>
          <w:spacing w:val="-1"/>
          <w:sz w:val="28"/>
          <w:szCs w:val="28"/>
        </w:rPr>
        <w:t xml:space="preserve">注：具体按评分标准的要求提供</w:t>
      </w:r>
      <w:r>
        <w:rPr>
          <w:rFonts w:hint="eastAsia" w:ascii="宋体" w:hAnsi="宋体" w:eastAsia="宋体" w:cs="宋体"/>
          <w:b w:val="0"/>
          <w:bCs w:val="0"/>
          <w:color w:val="auto"/>
          <w:spacing w:val="-1"/>
          <w:sz w:val="28"/>
          <w:szCs w:val="28"/>
          <w:lang w:eastAsia="zh-CN"/>
        </w:rPr>
        <w:t xml:space="preserve">。</w:t>
      </w:r>
      <w:r/>
    </w:p>
    <w:p>
      <w:pPr>
        <w:jc w:val="both"/>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both"/>
        <w:keepNext w:val="0"/>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六</w:t>
      </w:r>
      <w:r>
        <w:rPr>
          <w:rFonts w:hint="eastAsia" w:ascii="宋体" w:hAnsi="宋体" w:eastAsia="宋体" w:cs="宋体"/>
          <w:b/>
          <w:bCs/>
          <w:color w:val="auto"/>
          <w:sz w:val="32"/>
          <w:szCs w:val="32"/>
        </w:rPr>
        <w:t xml:space="preserve">、</w:t>
      </w:r>
      <w:r>
        <w:rPr>
          <w:rFonts w:hint="eastAsia"/>
          <w:b/>
          <w:bCs/>
          <w:color w:val="auto"/>
          <w:spacing w:val="-3"/>
          <w:sz w:val="32"/>
          <w:szCs w:val="32"/>
          <w:lang w:val="en-US" w:eastAsia="zh-CN"/>
        </w:rPr>
        <w:t xml:space="preserve">类似项目业绩情况表</w:t>
      </w:r>
      <w:r/>
    </w:p>
    <w:tbl>
      <w:tblPr>
        <w:tblStyle w:val="113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7"/>
        <w:gridCol w:w="2006"/>
        <w:gridCol w:w="3139"/>
        <w:gridCol w:w="1814"/>
        <w:gridCol w:w="1947"/>
      </w:tblGrid>
      <w:tr>
        <w:trPr>
          <w:trHeight w:val="1341"/>
        </w:trPr>
        <w:tc>
          <w:tcPr>
            <w:tcW w:w="434" w:type="pct"/>
            <w:vAlign w:val="center"/>
            <w:textDirection w:val="lrTb"/>
            <w:noWrap w:val="false"/>
          </w:tcPr>
          <w:p>
            <w:pPr>
              <w:pStyle w:val="1135"/>
              <w:ind w:left="0"/>
              <w:jc w:val="center"/>
              <w:spacing w:line="240" w:lineRule="auto"/>
              <w:rPr>
                <w:color w:val="auto"/>
              </w:rPr>
            </w:pPr>
            <w:r>
              <w:rPr>
                <w:color w:val="auto"/>
                <w:spacing w:val="-5"/>
              </w:rPr>
              <w:t xml:space="preserve">序号</w:t>
            </w:r>
            <w:r/>
          </w:p>
        </w:tc>
        <w:tc>
          <w:tcPr>
            <w:tcW w:w="1028" w:type="pct"/>
            <w:vAlign w:val="center"/>
            <w:textDirection w:val="lrTb"/>
            <w:noWrap w:val="false"/>
          </w:tcPr>
          <w:p>
            <w:pPr>
              <w:pStyle w:val="1135"/>
              <w:ind w:left="0"/>
              <w:jc w:val="center"/>
              <w:spacing w:line="240" w:lineRule="auto"/>
              <w:rPr>
                <w:color w:val="auto"/>
              </w:rPr>
            </w:pPr>
            <w:r>
              <w:rPr>
                <w:color w:val="auto"/>
                <w:spacing w:val="-4"/>
              </w:rPr>
              <w:t xml:space="preserve">项目名称</w:t>
            </w:r>
            <w:r/>
          </w:p>
        </w:tc>
        <w:tc>
          <w:tcPr>
            <w:tcBorders>
              <w:right w:val="single" w:color="000000" w:sz="2" w:space="0"/>
            </w:tcBorders>
            <w:tcW w:w="1609" w:type="pct"/>
            <w:vAlign w:val="center"/>
            <w:textDirection w:val="lrTb"/>
            <w:noWrap w:val="false"/>
          </w:tcPr>
          <w:p>
            <w:pPr>
              <w:pStyle w:val="1135"/>
              <w:ind w:left="0"/>
              <w:jc w:val="center"/>
              <w:spacing w:line="240" w:lineRule="auto"/>
              <w:rPr>
                <w:color w:val="auto"/>
              </w:rPr>
            </w:pPr>
            <w:r>
              <w:rPr>
                <w:color w:val="auto"/>
                <w:spacing w:val="-2"/>
              </w:rPr>
              <w:t xml:space="preserve">项目规模（内容）</w:t>
            </w:r>
            <w:r/>
          </w:p>
        </w:tc>
        <w:tc>
          <w:tcPr>
            <w:tcBorders>
              <w:left w:val="single" w:color="000000" w:sz="2" w:space="0"/>
            </w:tcBorders>
            <w:tcW w:w="930" w:type="pct"/>
            <w:vAlign w:val="center"/>
            <w:textDirection w:val="lrTb"/>
            <w:noWrap w:val="false"/>
          </w:tcPr>
          <w:p>
            <w:pPr>
              <w:pStyle w:val="1135"/>
              <w:ind w:left="0"/>
              <w:jc w:val="center"/>
              <w:spacing w:line="240" w:lineRule="auto"/>
              <w:rPr>
                <w:color w:val="auto"/>
                <w:spacing w:val="-3"/>
                <w:position w:val="5"/>
              </w:rPr>
            </w:pPr>
            <w:r>
              <w:rPr>
                <w:color w:val="auto"/>
                <w:spacing w:val="-3"/>
                <w:position w:val="5"/>
              </w:rPr>
              <w:t xml:space="preserve">合同金额</w:t>
            </w:r>
            <w:r/>
          </w:p>
          <w:p>
            <w:pPr>
              <w:pStyle w:val="1135"/>
              <w:ind w:left="0"/>
              <w:jc w:val="center"/>
              <w:spacing w:line="240" w:lineRule="auto"/>
              <w:rPr>
                <w:rFonts w:hint="eastAsia" w:eastAsia="宋体"/>
                <w:color w:val="auto"/>
                <w:lang w:eastAsia="zh-CN"/>
              </w:rPr>
            </w:pPr>
            <w:r>
              <w:rPr>
                <w:rFonts w:hint="eastAsia"/>
                <w:color w:val="auto"/>
                <w:spacing w:val="-3"/>
                <w:position w:val="5"/>
                <w:lang w:eastAsia="zh-CN"/>
              </w:rPr>
              <w:t xml:space="preserve">（</w:t>
            </w:r>
            <w:r>
              <w:rPr>
                <w:rFonts w:hint="eastAsia"/>
                <w:color w:val="auto"/>
                <w:spacing w:val="-3"/>
                <w:position w:val="5"/>
                <w:lang w:val="en-US" w:eastAsia="zh-CN"/>
              </w:rPr>
              <w:t xml:space="preserve">万元</w:t>
            </w:r>
            <w:r>
              <w:rPr>
                <w:rFonts w:hint="eastAsia"/>
                <w:color w:val="auto"/>
                <w:spacing w:val="-3"/>
                <w:position w:val="5"/>
                <w:lang w:eastAsia="zh-CN"/>
              </w:rPr>
              <w:t xml:space="preserve">）</w:t>
            </w:r>
            <w:r/>
          </w:p>
        </w:tc>
        <w:tc>
          <w:tcPr>
            <w:tcW w:w="998" w:type="pct"/>
            <w:vAlign w:val="center"/>
            <w:textDirection w:val="lrTb"/>
            <w:noWrap w:val="false"/>
          </w:tcPr>
          <w:p>
            <w:pPr>
              <w:ind w:left="0"/>
              <w:jc w:val="center"/>
              <w:spacing w:line="240" w:lineRule="auto"/>
              <w:rPr>
                <w:color w:val="auto"/>
              </w:rPr>
            </w:pPr>
            <w:r>
              <w:rPr>
                <w:color w:val="auto"/>
              </w:rPr>
            </w:r>
            <w:r/>
          </w:p>
          <w:p>
            <w:pPr>
              <w:pStyle w:val="1135"/>
              <w:ind w:left="0"/>
              <w:jc w:val="center"/>
              <w:spacing w:line="240" w:lineRule="auto"/>
              <w:rPr>
                <w:color w:val="auto"/>
              </w:rPr>
            </w:pPr>
            <w:r>
              <w:rPr>
                <w:color w:val="auto"/>
                <w:spacing w:val="-7"/>
              </w:rPr>
              <w:t xml:space="preserve">备注</w:t>
            </w:r>
            <w:r/>
          </w:p>
        </w:tc>
      </w:tr>
      <w:tr>
        <w:trPr>
          <w:trHeight w:val="796"/>
        </w:trPr>
        <w:tc>
          <w:tcPr>
            <w:tcW w:w="434" w:type="pct"/>
            <w:vAlign w:val="center"/>
            <w:textDirection w:val="lrTb"/>
            <w:noWrap w:val="false"/>
          </w:tcPr>
          <w:p>
            <w:pPr>
              <w:pStyle w:val="1135"/>
              <w:ind w:left="0"/>
              <w:jc w:val="center"/>
              <w:spacing w:line="240" w:lineRule="auto"/>
              <w:rPr>
                <w:color w:val="auto"/>
              </w:rPr>
            </w:pPr>
            <w:r>
              <w:rPr>
                <w:color w:val="auto"/>
              </w:rPr>
              <w:t xml:space="preserve">1</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ind w:left="0"/>
              <w:jc w:val="center"/>
              <w:spacing w:line="240" w:lineRule="auto"/>
              <w:rPr>
                <w:color w:val="auto"/>
              </w:rPr>
            </w:pPr>
            <w:r>
              <w:rPr>
                <w:color w:val="auto"/>
              </w:rPr>
            </w:r>
            <w:r/>
          </w:p>
          <w:p>
            <w:pPr>
              <w:pStyle w:val="1135"/>
              <w:ind w:left="0"/>
              <w:jc w:val="center"/>
              <w:spacing w:line="240" w:lineRule="auto"/>
              <w:rPr>
                <w:color w:val="auto"/>
              </w:rPr>
            </w:pPr>
            <w:r>
              <w:rPr>
                <w:color w:val="auto"/>
              </w:rPr>
              <w:t xml:space="preserve">2</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ind w:left="0"/>
              <w:jc w:val="center"/>
              <w:spacing w:line="240" w:lineRule="auto"/>
              <w:rPr>
                <w:color w:val="auto"/>
              </w:rPr>
            </w:pPr>
            <w:r>
              <w:rPr>
                <w:color w:val="auto"/>
              </w:rPr>
            </w:r>
            <w:r/>
          </w:p>
          <w:p>
            <w:pPr>
              <w:pStyle w:val="1135"/>
              <w:ind w:left="0"/>
              <w:jc w:val="center"/>
              <w:spacing w:line="240" w:lineRule="auto"/>
              <w:rPr>
                <w:color w:val="auto"/>
              </w:rPr>
            </w:pPr>
            <w:r>
              <w:rPr>
                <w:color w:val="auto"/>
              </w:rPr>
              <w:t xml:space="preserve">3</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6"/>
        </w:trPr>
        <w:tc>
          <w:tcPr>
            <w:tcW w:w="434" w:type="pct"/>
            <w:vAlign w:val="center"/>
            <w:textDirection w:val="lrTb"/>
            <w:noWrap w:val="false"/>
          </w:tcPr>
          <w:p>
            <w:pPr>
              <w:pStyle w:val="1135"/>
              <w:ind w:left="0"/>
              <w:jc w:val="center"/>
              <w:spacing w:line="240" w:lineRule="auto"/>
              <w:rPr>
                <w:color w:val="auto"/>
              </w:rPr>
            </w:pPr>
            <w:r>
              <w:rPr>
                <w:color w:val="auto"/>
              </w:rPr>
              <w:t xml:space="preserve">4</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pStyle w:val="1135"/>
              <w:ind w:left="0"/>
              <w:jc w:val="center"/>
              <w:spacing w:line="240" w:lineRule="auto"/>
              <w:rPr>
                <w:color w:val="auto"/>
              </w:rPr>
            </w:pPr>
            <w:r>
              <w:rPr>
                <w:color w:val="auto"/>
              </w:rPr>
              <w:t xml:space="preserve">5</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818"/>
        </w:trPr>
        <w:tc>
          <w:tcPr>
            <w:tcW w:w="434" w:type="pct"/>
            <w:vAlign w:val="center"/>
            <w:textDirection w:val="lrTb"/>
            <w:noWrap w:val="false"/>
          </w:tcPr>
          <w:p>
            <w:pPr>
              <w:pStyle w:val="1135"/>
              <w:ind w:left="0"/>
              <w:jc w:val="center"/>
              <w:spacing w:line="240" w:lineRule="auto"/>
              <w:rPr>
                <w:color w:val="auto"/>
              </w:rPr>
            </w:pPr>
            <w:r>
              <w:rPr>
                <w:color w:val="auto"/>
                <w:position w:val="3"/>
              </w:rPr>
              <w:t xml:space="preserve">…</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bl>
    <w:p>
      <w:pPr>
        <w:jc w:val="both"/>
        <w:keepNext w:val="0"/>
        <w:pageBreakBefore w:val="0"/>
        <w:spacing w:line="360" w:lineRule="auto"/>
        <w:rPr>
          <w:rFonts w:hint="eastAsia" w:ascii="宋体" w:hAnsi="宋体" w:eastAsia="宋体" w:cs="宋体"/>
          <w:color w:val="auto"/>
          <w:spacing w:val="-1"/>
          <w:sz w:val="28"/>
          <w:szCs w:val="28"/>
        </w:rPr>
      </w:pPr>
      <w:r>
        <w:rPr>
          <w:rFonts w:hint="eastAsia" w:ascii="宋体" w:hAnsi="宋体" w:eastAsia="宋体" w:cs="宋体"/>
          <w:color w:val="auto"/>
          <w:spacing w:val="-1"/>
          <w:sz w:val="28"/>
          <w:szCs w:val="28"/>
        </w:rPr>
      </w:r>
      <w:r/>
    </w:p>
    <w:p>
      <w:pPr>
        <w:jc w:val="both"/>
        <w:keepNext w:val="0"/>
        <w:pageBreakBefore w:val="0"/>
        <w:spacing w:line="360" w:lineRule="auto"/>
        <w:rPr>
          <w:rFonts w:hint="eastAsia" w:ascii="宋体" w:hAnsi="宋体" w:eastAsia="宋体" w:cs="宋体"/>
          <w:color w:val="auto"/>
          <w:spacing w:val="-1"/>
          <w:sz w:val="28"/>
          <w:szCs w:val="28"/>
          <w:lang w:eastAsia="zh-CN"/>
        </w:rPr>
      </w:pPr>
      <w:r>
        <w:rPr>
          <w:rFonts w:hint="eastAsia" w:ascii="宋体" w:hAnsi="宋体" w:eastAsia="宋体" w:cs="宋体"/>
          <w:color w:val="auto"/>
          <w:spacing w:val="-1"/>
          <w:sz w:val="28"/>
          <w:szCs w:val="28"/>
        </w:rPr>
        <w:t xml:space="preserve">注：后附合同等相关材料，具体按评分标准的要求提供</w:t>
      </w:r>
      <w:r>
        <w:rPr>
          <w:rFonts w:hint="eastAsia" w:ascii="宋体" w:hAnsi="宋体" w:eastAsia="宋体" w:cs="宋体"/>
          <w:color w:val="auto"/>
          <w:spacing w:val="-1"/>
          <w:sz w:val="28"/>
          <w:szCs w:val="28"/>
          <w:lang w:eastAsia="zh-CN"/>
        </w:rPr>
        <w:t xml:space="preserve">。</w:t>
      </w:r>
      <w:r/>
    </w:p>
    <w:p>
      <w:pPr>
        <w:jc w:val="both"/>
        <w:keepNext w:val="0"/>
        <w:pageBreakBefore w:val="0"/>
        <w:spacing w:line="360" w:lineRule="auto"/>
        <w:rPr>
          <w:rFonts w:hint="eastAsia" w:ascii="宋体" w:hAnsi="宋体" w:eastAsia="宋体" w:cs="宋体"/>
          <w:color w:val="auto"/>
          <w:spacing w:val="-1"/>
          <w:sz w:val="28"/>
          <w:szCs w:val="28"/>
          <w:lang w:eastAsia="zh-CN"/>
        </w:rPr>
      </w:pPr>
      <w:r>
        <w:rPr>
          <w:rFonts w:hint="eastAsia" w:ascii="宋体" w:hAnsi="宋体" w:eastAsia="宋体" w:cs="宋体"/>
          <w:color w:val="auto"/>
          <w:spacing w:val="-1"/>
          <w:sz w:val="28"/>
          <w:szCs w:val="28"/>
          <w:lang w:eastAsia="zh-CN"/>
        </w:rPr>
      </w:r>
      <w:r/>
    </w:p>
    <w:p>
      <w:pPr>
        <w:jc w:val="both"/>
        <w:keepNext w:val="0"/>
        <w:pageBreakBefore w:val="0"/>
        <w:spacing w:line="360" w:lineRule="auto"/>
        <w:rPr>
          <w:rFonts w:hint="eastAsia" w:ascii="宋体" w:hAnsi="宋体" w:eastAsia="宋体" w:cs="宋体"/>
          <w:b/>
          <w:bCs/>
          <w:color w:val="auto"/>
          <w:sz w:val="28"/>
          <w:szCs w:val="28"/>
          <w:lang w:eastAsia="zh-CN"/>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jc w:val="both"/>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七、</w:t>
      </w:r>
      <w:r>
        <w:rPr>
          <w:rFonts w:hint="eastAsia" w:ascii="宋体" w:hAnsi="宋体" w:eastAsia="宋体" w:cs="宋体"/>
          <w:b/>
          <w:bCs/>
          <w:color w:val="auto"/>
          <w:sz w:val="32"/>
          <w:szCs w:val="32"/>
        </w:rPr>
        <w:t xml:space="preserve">服务承诺</w:t>
      </w:r>
      <w:bookmarkEnd w:id="18"/>
      <w:r/>
      <w:r/>
    </w:p>
    <w:p>
      <w:pPr>
        <w:jc w:val="center"/>
        <w:keepNext w:val="0"/>
        <w:pageBreakBefore w:val="0"/>
        <w:spacing w:line="360" w:lineRule="auto"/>
        <w:rPr>
          <w:rFonts w:hint="eastAsia" w:ascii="宋体" w:hAnsi="宋体" w:eastAsia="宋体" w:cs="宋体"/>
          <w:color w:val="auto"/>
          <w:sz w:val="28"/>
        </w:rPr>
        <w:outlineLvl w:val="0"/>
      </w:pPr>
      <w:r>
        <w:rPr>
          <w:rFonts w:hint="eastAsia" w:ascii="宋体" w:hAnsi="宋体" w:eastAsia="宋体" w:cs="宋体"/>
          <w:color w:val="auto"/>
          <w:sz w:val="28"/>
        </w:rPr>
        <w:t xml:space="preserve">（格式由投标人自定、加盖投标人公章）</w:t>
      </w:r>
      <w:r/>
    </w:p>
    <w:p>
      <w:pPr>
        <w:rPr>
          <w:rFonts w:hint="eastAsia" w:ascii="宋体" w:hAnsi="宋体" w:eastAsia="宋体" w:cs="宋体"/>
          <w:b/>
          <w:bCs/>
          <w:color w:val="auto"/>
          <w:sz w:val="32"/>
          <w:szCs w:val="32"/>
          <w:lang w:val="en-US" w:eastAsia="zh-CN"/>
        </w:rPr>
      </w:pPr>
      <w:r/>
      <w:bookmarkStart w:id="19" w:name="_Toc13352_WPSOffice_Level1"/>
      <w:r>
        <w:rPr>
          <w:rFonts w:hint="eastAsia" w:ascii="宋体" w:hAnsi="宋体" w:eastAsia="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八</w:t>
      </w:r>
      <w:r>
        <w:rPr>
          <w:rFonts w:hint="eastAsia" w:ascii="宋体" w:hAnsi="宋体" w:eastAsia="宋体" w:cs="宋体"/>
          <w:b/>
          <w:bCs/>
          <w:color w:val="auto"/>
          <w:sz w:val="32"/>
          <w:szCs w:val="32"/>
        </w:rPr>
        <w:t xml:space="preserve">、资质审查时</w:t>
      </w:r>
      <w:r>
        <w:rPr>
          <w:rFonts w:hint="eastAsia" w:ascii="宋体" w:hAnsi="宋体" w:cs="宋体"/>
          <w:b/>
          <w:bCs/>
          <w:color w:val="auto"/>
          <w:sz w:val="32"/>
          <w:szCs w:val="32"/>
          <w:lang w:eastAsia="zh-CN"/>
        </w:rPr>
        <w:t xml:space="preserve">投标人</w:t>
      </w:r>
      <w:r>
        <w:rPr>
          <w:rFonts w:hint="eastAsia" w:ascii="宋体" w:hAnsi="宋体" w:eastAsia="宋体" w:cs="宋体"/>
          <w:b/>
          <w:bCs/>
          <w:color w:val="auto"/>
          <w:sz w:val="32"/>
          <w:szCs w:val="32"/>
        </w:rPr>
        <w:t xml:space="preserve">必须提交的资格证明文件</w:t>
      </w:r>
      <w:bookmarkEnd w:id="19"/>
      <w:r/>
      <w:r/>
    </w:p>
    <w:p>
      <w:pPr>
        <w:jc w:val="left"/>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（一）符合《中华人民共和国政府采购法》第二十二条规定的六项条件；</w:t>
      </w:r>
      <w:r>
        <w:rPr>
          <w:rFonts w:hint="eastAsia" w:ascii="宋体" w:hAnsi="宋体" w:cs="宋体"/>
          <w:b/>
          <w:bCs/>
          <w:color w:val="auto"/>
          <w:sz w:val="24"/>
        </w:rPr>
        <w:t xml:space="preserve">（承诺制，详见投标函中第八条</w:t>
      </w:r>
      <w:r>
        <w:rPr>
          <w:rFonts w:hint="eastAsia" w:ascii="宋体" w:hAnsi="宋体" w:cs="宋体"/>
          <w:b/>
          <w:bCs/>
          <w:color w:val="auto"/>
          <w:sz w:val="24"/>
          <w:lang w:eastAsia="zh-CN"/>
        </w:rPr>
        <w:t xml:space="preserve">或示范格式</w:t>
      </w:r>
      <w:r>
        <w:rPr>
          <w:rFonts w:hint="eastAsia" w:ascii="宋体" w:hAnsi="宋体" w:cs="宋体"/>
          <w:b/>
          <w:bCs/>
          <w:color w:val="auto"/>
          <w:sz w:val="24"/>
        </w:rPr>
        <w:t xml:space="preserve">）</w:t>
      </w:r>
      <w:r/>
    </w:p>
    <w:p>
      <w:pPr>
        <w:keepNext w:val="0"/>
        <w:pageBreakBefore w:val="0"/>
        <w:spacing w:line="360" w:lineRule="auto"/>
        <w:rPr>
          <w:rFonts w:hint="eastAsia" w:ascii="宋体" w:hAnsi="宋体" w:eastAsia="宋体" w:cs="宋体"/>
          <w:b/>
          <w:bCs/>
          <w:color w:val="auto"/>
          <w:sz w:val="24"/>
        </w:rPr>
      </w:pPr>
      <w:r>
        <w:rPr>
          <w:rFonts w:hint="eastAsia" w:ascii="宋体" w:hAnsi="宋体" w:eastAsia="宋体" w:cs="宋体"/>
          <w:color w:val="auto"/>
          <w:sz w:val="24"/>
        </w:rPr>
        <w:t xml:space="preserve">（二）</w:t>
      </w:r>
      <w:r>
        <w:rPr>
          <w:rFonts w:hint="eastAsia" w:ascii="宋体" w:hAnsi="宋体" w:eastAsia="宋体" w:cs="宋体"/>
          <w:color w:val="auto"/>
          <w:sz w:val="24"/>
          <w:lang w:eastAsia="zh-CN"/>
        </w:rPr>
        <w:t xml:space="preserve">落实政府采购政策需满足的资格要求:</w:t>
      </w:r>
      <w:r>
        <w:rPr>
          <w:rFonts w:hint="eastAsia" w:ascii="宋体" w:hAnsi="宋体" w:eastAsia="宋体" w:cs="宋体"/>
          <w:b/>
          <w:bCs/>
          <w:color w:val="auto"/>
          <w:sz w:val="24"/>
        </w:rPr>
        <w:t xml:space="preserve">（非专门面向中小企业或者预留份额的采购项目，本项无需提供）</w:t>
      </w:r>
      <w:r/>
    </w:p>
    <w:p>
      <w:pPr>
        <w:keepNext w:val="0"/>
        <w:pageBreakBefore w:val="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本项目按照以下第</w:t>
      </w:r>
      <w:r>
        <w:rPr>
          <w:rFonts w:hint="eastAsia" w:ascii="宋体" w:hAnsi="宋体" w:eastAsia="宋体" w:cs="宋体"/>
          <w:color w:val="auto"/>
          <w:sz w:val="24"/>
          <w:u w:val="single"/>
          <w:lang w:eastAsia="zh-CN"/>
        </w:rPr>
        <w:t xml:space="preserve">3</w:t>
      </w:r>
      <w:r>
        <w:rPr>
          <w:rFonts w:hint="eastAsia" w:ascii="宋体" w:hAnsi="宋体" w:eastAsia="宋体" w:cs="宋体"/>
          <w:color w:val="auto"/>
          <w:sz w:val="24"/>
        </w:rPr>
        <w:t xml:space="preserve">种方式落实政府采购促进中小企业发展的要求:</w:t>
      </w:r>
      <w:r>
        <w:rPr>
          <w:rFonts w:hint="eastAsia" w:ascii="宋体" w:hAnsi="宋体" w:eastAsia="宋体" w:cs="宋体"/>
          <w:color w:val="auto"/>
          <w:sz w:val="24"/>
        </w:rPr>
        <w:br/>
      </w:r>
      <w:r>
        <w:rPr>
          <w:rFonts w:hint="eastAsia" w:ascii="宋体" w:hAnsi="宋体" w:eastAsia="宋体" w:cs="宋体"/>
          <w:color w:val="auto"/>
          <w:sz w:val="24"/>
        </w:rPr>
        <w:t xml:space="preserve">   1、本项目为专门面向中小企业采购的项目。</w:t>
      </w:r>
      <w:r>
        <w:rPr>
          <w:rFonts w:hint="eastAsia" w:ascii="宋体" w:hAnsi="宋体" w:eastAsia="宋体" w:cs="宋体"/>
          <w:color w:val="auto"/>
          <w:sz w:val="24"/>
        </w:rPr>
        <w:br/>
      </w:r>
      <w:r>
        <w:rPr>
          <w:rFonts w:hint="eastAsia" w:ascii="宋体" w:hAnsi="宋体" w:eastAsia="宋体" w:cs="宋体"/>
          <w:color w:val="auto"/>
          <w:sz w:val="24"/>
        </w:rPr>
        <w:t xml:space="preserve">   2、本项目通过以下第()种方式预留部分采购份额采购中小企业服务:</w:t>
      </w:r>
      <w:r>
        <w:rPr>
          <w:rFonts w:hint="eastAsia" w:ascii="宋体" w:hAnsi="宋体" w:eastAsia="宋体" w:cs="宋体"/>
          <w:color w:val="auto"/>
          <w:sz w:val="24"/>
        </w:rPr>
        <w:br/>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(1)本项目要求供应商以联合体形式参加，中小企业合同金额应当达到的比例为__%，其中小微企业所占比例应为_%(两项比例均应符合《政府采购促进中小企业发展管理办法》第八条规定)。</w:t>
      </w:r>
      <w:r>
        <w:rPr>
          <w:rFonts w:hint="eastAsia" w:ascii="宋体" w:hAnsi="宋体" w:eastAsia="宋体" w:cs="宋体"/>
          <w:color w:val="auto"/>
          <w:sz w:val="24"/>
        </w:rPr>
        <w:br/>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(2)本项目要求供应商进行合同分包，中小企业合同金额应当达到的比例为_%，其中小微企业所占比例应为_%(两项比例均应符合《政府采购促进中小企业发展管理办法》第八条规定)。</w:t>
      </w:r>
      <w:r>
        <w:rPr>
          <w:rFonts w:hint="eastAsia" w:ascii="宋体" w:hAnsi="宋体" w:eastAsia="宋体" w:cs="宋体"/>
          <w:color w:val="auto"/>
          <w:sz w:val="24"/>
        </w:rPr>
        <w:br/>
      </w:r>
      <w:r>
        <w:rPr>
          <w:rFonts w:hint="eastAsia" w:ascii="宋体" w:hAnsi="宋体" w:eastAsia="宋体" w:cs="宋体"/>
          <w:color w:val="auto"/>
          <w:sz w:val="24"/>
        </w:rPr>
        <w:t xml:space="preserve"> </w:t>
      </w:r>
      <w:r>
        <w:rPr>
          <w:rFonts w:hint="eastAsia" w:ascii="宋体" w:hAnsi="宋体" w:eastAsia="宋体" w:cs="宋体"/>
          <w:color w:val="auto"/>
          <w:sz w:val="24"/>
          <w:lang w:eastAsia="zh-CN"/>
        </w:rPr>
        <w:t xml:space="preserve"> </w:t>
      </w:r>
      <w:r>
        <w:rPr>
          <w:rFonts w:hint="eastAsia" w:ascii="宋体" w:hAnsi="宋体" w:eastAsia="宋体" w:cs="宋体"/>
          <w:color w:val="auto"/>
          <w:sz w:val="24"/>
        </w:rPr>
        <w:t xml:space="preserve">3、本项目为非预留份额的采购项目，对小微企业报价给予扣除，用扣除后的价格参加评审，具体详见第三章评标标准。</w:t>
      </w:r>
      <w:r>
        <w:rPr>
          <w:rFonts w:hint="eastAsia" w:ascii="宋体" w:hAnsi="宋体" w:eastAsia="宋体" w:cs="宋体"/>
          <w:color w:val="auto"/>
          <w:sz w:val="24"/>
        </w:rPr>
        <w:br/>
      </w:r>
      <w:r>
        <w:rPr>
          <w:rFonts w:hint="eastAsia" w:ascii="宋体" w:hAnsi="宋体" w:eastAsia="宋体" w:cs="宋体"/>
          <w:color w:val="auto"/>
          <w:sz w:val="24"/>
        </w:rPr>
        <w:t xml:space="preserve"> </w:t>
      </w:r>
      <w:r>
        <w:rPr>
          <w:rFonts w:hint="eastAsia" w:ascii="宋体" w:hAnsi="宋体" w:eastAsia="宋体" w:cs="宋体"/>
          <w:color w:val="auto"/>
          <w:sz w:val="24"/>
          <w:lang w:eastAsia="zh-CN"/>
        </w:rPr>
        <w:t xml:space="preserve">  </w:t>
      </w:r>
      <w:r>
        <w:rPr>
          <w:rFonts w:hint="eastAsia" w:ascii="宋体" w:hAnsi="宋体" w:eastAsia="宋体" w:cs="宋体"/>
          <w:color w:val="auto"/>
          <w:sz w:val="24"/>
        </w:rPr>
        <w:t xml:space="preserve">注:监狱企业、残疾人福利性单位视同小微企业。</w:t>
      </w:r>
      <w:r/>
    </w:p>
    <w:p>
      <w:pPr>
        <w:ind w:firstLine="48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eastAsia="zh-CN"/>
        </w:rPr>
        <w:t xml:space="preserve">本项目采购标的对应的中小企业划分标准所属行业为</w:t>
      </w:r>
      <w:r>
        <w:rPr>
          <w:rFonts w:hint="eastAsia" w:ascii="宋体" w:hAnsi="宋体" w:eastAsia="宋体" w:cs="宋体"/>
          <w:color w:val="auto"/>
          <w:sz w:val="24"/>
          <w:u w:val="single"/>
          <w:lang w:eastAsia="zh-CN"/>
        </w:rPr>
        <w:t xml:space="preserve"> 工业  </w:t>
      </w:r>
      <w:r>
        <w:rPr>
          <w:rFonts w:hint="eastAsia" w:ascii="宋体" w:hAnsi="宋体" w:eastAsia="宋体" w:cs="宋体"/>
          <w:color w:val="auto"/>
          <w:sz w:val="24"/>
          <w:lang w:eastAsia="zh-CN"/>
        </w:rPr>
        <w:t xml:space="preserve">。</w:t>
      </w:r>
      <w:r/>
    </w:p>
    <w:p>
      <w:pPr>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三</w:t>
      </w:r>
      <w:r>
        <w:rPr>
          <w:rFonts w:hint="eastAsia" w:ascii="宋体" w:hAnsi="宋体" w:cs="宋体"/>
          <w:color w:val="auto"/>
          <w:sz w:val="24"/>
        </w:rPr>
        <w:t xml:space="preserve">）拒绝符合下述条件的</w:t>
      </w:r>
      <w:r>
        <w:rPr>
          <w:rFonts w:hint="eastAsia" w:ascii="宋体" w:hAnsi="宋体" w:cs="宋体"/>
          <w:color w:val="auto"/>
          <w:sz w:val="24"/>
          <w:lang w:eastAsia="zh-CN"/>
        </w:rPr>
        <w:t xml:space="preserve">供应商</w:t>
      </w:r>
      <w:r>
        <w:rPr>
          <w:rFonts w:hint="eastAsia" w:ascii="宋体" w:hAnsi="宋体" w:cs="宋体"/>
          <w:color w:val="auto"/>
          <w:sz w:val="24"/>
        </w:rPr>
        <w:t xml:space="preserve">参加本次采购活动</w:t>
      </w:r>
      <w:r>
        <w:rPr>
          <w:rFonts w:hint="eastAsia" w:ascii="宋体" w:hAnsi="宋体" w:cs="宋体"/>
          <w:b/>
          <w:color w:val="auto"/>
          <w:sz w:val="24"/>
        </w:rPr>
        <w:t xml:space="preserve">（</w:t>
      </w:r>
      <w:r>
        <w:rPr>
          <w:rFonts w:hint="eastAsia" w:ascii="宋体" w:hAnsi="宋体" w:cs="宋体"/>
          <w:b/>
          <w:bCs/>
          <w:color w:val="auto"/>
          <w:sz w:val="24"/>
        </w:rPr>
        <w:t xml:space="preserve">承诺制，详见</w:t>
      </w:r>
      <w:r>
        <w:rPr>
          <w:rFonts w:hint="eastAsia" w:ascii="宋体" w:hAnsi="宋体" w:cs="宋体"/>
          <w:b/>
          <w:bCs/>
          <w:color w:val="auto"/>
          <w:sz w:val="24"/>
          <w:lang w:eastAsia="zh-CN"/>
        </w:rPr>
        <w:t xml:space="preserve">示范格式</w:t>
      </w:r>
      <w:r>
        <w:rPr>
          <w:rFonts w:hint="eastAsia" w:ascii="宋体" w:hAnsi="宋体" w:cs="宋体"/>
          <w:b/>
          <w:color w:val="auto"/>
          <w:sz w:val="24"/>
        </w:rPr>
        <w:t xml:space="preserve">）</w:t>
      </w:r>
      <w:r>
        <w:rPr>
          <w:rFonts w:hint="eastAsia" w:ascii="宋体" w:hAnsi="宋体" w:cs="宋体"/>
          <w:b w:val="0"/>
          <w:bCs w:val="0"/>
          <w:color w:val="auto"/>
          <w:sz w:val="24"/>
          <w:lang w:eastAsia="zh-CN"/>
        </w:rPr>
        <w:t xml:space="preserve">：</w:t>
      </w:r>
      <w:r/>
    </w:p>
    <w:p>
      <w:pPr>
        <w:ind w:firstLine="480"/>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供应商</w:t>
      </w:r>
      <w:r>
        <w:rPr>
          <w:rFonts w:hint="eastAsia" w:ascii="宋体" w:hAnsi="宋体" w:cs="宋体"/>
          <w:color w:val="auto"/>
          <w:sz w:val="24"/>
        </w:rPr>
        <w:t xml:space="preserve">单位负责人为同一人或者存在直接控股、管理关系的不同</w:t>
      </w:r>
      <w:r>
        <w:rPr>
          <w:rFonts w:hint="eastAsia" w:ascii="宋体" w:hAnsi="宋体" w:cs="宋体"/>
          <w:color w:val="auto"/>
          <w:sz w:val="24"/>
          <w:lang w:eastAsia="zh-CN"/>
        </w:rPr>
        <w:t xml:space="preserve">供应商</w:t>
      </w:r>
      <w:r>
        <w:rPr>
          <w:rFonts w:hint="eastAsia" w:ascii="宋体" w:hAnsi="宋体" w:cs="宋体"/>
          <w:color w:val="auto"/>
          <w:sz w:val="24"/>
        </w:rPr>
        <w:t xml:space="preserve">，不得同时参加同一合同项下的政府采购活动；</w:t>
      </w:r>
      <w:r/>
    </w:p>
    <w:p>
      <w:pPr>
        <w:ind w:firstLine="480"/>
        <w:keepLines w:val="0"/>
        <w:keepNext w:val="0"/>
        <w:pageBreakBefore w:val="0"/>
        <w:spacing w:line="360" w:lineRule="auto"/>
        <w:widowControl w:val="off"/>
        <w:rPr>
          <w:rFonts w:hint="eastAsia" w:ascii="宋体" w:hAnsi="宋体" w:cs="宋体"/>
          <w:b/>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凡为采购项目提供整体设计、规范编制或者项目管理、监理、检测等服务的</w:t>
      </w:r>
      <w:r>
        <w:rPr>
          <w:rFonts w:hint="eastAsia" w:ascii="宋体" w:hAnsi="宋体" w:cs="宋体"/>
          <w:color w:val="auto"/>
          <w:sz w:val="24"/>
          <w:lang w:eastAsia="zh-CN"/>
        </w:rPr>
        <w:t xml:space="preserve">供应商</w:t>
      </w:r>
      <w:r>
        <w:rPr>
          <w:rFonts w:hint="eastAsia" w:ascii="宋体" w:hAnsi="宋体" w:cs="宋体"/>
          <w:color w:val="auto"/>
          <w:sz w:val="24"/>
        </w:rPr>
        <w:t xml:space="preserve">，不得再参加本项目的采购活动；</w:t>
      </w:r>
      <w:r/>
    </w:p>
    <w:p>
      <w:pPr>
        <w:ind w:firstLine="480"/>
        <w:keepLines w:val="0"/>
        <w:keepNext w:val="0"/>
        <w:pageBreakBefore w:val="0"/>
        <w:spacing w:line="360" w:lineRule="auto"/>
        <w:widowControl w:val="off"/>
        <w:rPr>
          <w:rFonts w:hint="eastAsia" w:ascii="宋体" w:hAnsi="宋体" w:cs="宋体"/>
          <w:b/>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列入失信被执行人、重大税收违法案件当事人名单、政府采购严重违法失信行为记录名单中的</w:t>
      </w:r>
      <w:r>
        <w:rPr>
          <w:rFonts w:hint="eastAsia" w:ascii="宋体" w:hAnsi="宋体" w:cs="宋体"/>
          <w:color w:val="auto"/>
          <w:sz w:val="24"/>
          <w:lang w:eastAsia="zh-CN"/>
        </w:rPr>
        <w:t xml:space="preserve">供应商</w:t>
      </w:r>
      <w:r>
        <w:rPr>
          <w:rFonts w:hint="eastAsia" w:ascii="宋体" w:hAnsi="宋体" w:cs="宋体"/>
          <w:color w:val="auto"/>
          <w:sz w:val="24"/>
        </w:rPr>
        <w:t xml:space="preserve">不得参加本项目的采购活动</w:t>
      </w:r>
      <w:r>
        <w:rPr>
          <w:rFonts w:hint="eastAsia" w:ascii="宋体" w:hAnsi="宋体" w:cs="宋体"/>
          <w:color w:val="auto"/>
          <w:sz w:val="24"/>
          <w:lang w:eastAsia="zh-CN"/>
        </w:rPr>
        <w:t xml:space="preserve">”。</w:t>
      </w:r>
      <w:r/>
    </w:p>
    <w:p>
      <w:pPr>
        <w:pStyle w:val="1015"/>
        <w:ind w:firstLine="48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eastAsia="zh-CN"/>
        </w:rPr>
        <w:t xml:space="preserve">招标人</w:t>
      </w:r>
      <w:r>
        <w:rPr>
          <w:rFonts w:hint="eastAsia" w:ascii="宋体" w:hAnsi="宋体" w:cs="宋体"/>
          <w:color w:val="auto"/>
          <w:sz w:val="24"/>
          <w:szCs w:val="24"/>
        </w:rPr>
        <w:t xml:space="preserve">（代理机构）通过</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信用中国</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网站（www.creditchina.gov.cn）、</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中国政府采购网</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网站（www.ccgp.gov.cn）等渠道查询供应商在采购公告发布之日前的信用记录并保存，查询结果以网页打印的形式留存并归档。</w:t>
      </w:r>
      <w:r/>
    </w:p>
    <w:p>
      <w:pPr>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四</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投标</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提供下列之一</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法定代表人参加</w:t>
      </w:r>
      <w:r>
        <w:rPr>
          <w:rFonts w:hint="eastAsia" w:ascii="宋体" w:hAnsi="宋体" w:cs="宋体"/>
          <w:color w:val="auto"/>
          <w:sz w:val="24"/>
          <w:lang w:val="en-US" w:eastAsia="zh-CN"/>
        </w:rPr>
        <w:t xml:space="preserve">投标</w:t>
      </w:r>
      <w:r>
        <w:rPr>
          <w:rFonts w:hint="eastAsia" w:ascii="宋体" w:hAnsi="宋体" w:eastAsia="宋体" w:cs="宋体"/>
          <w:color w:val="auto"/>
          <w:sz w:val="24"/>
        </w:rPr>
        <w:t xml:space="preserve">的，提供法定代表人资格证明（格式按照示范格式一要求）和法定代表人有效身份证</w:t>
      </w:r>
      <w:r>
        <w:rPr>
          <w:rFonts w:hint="eastAsia" w:ascii="宋体" w:hAnsi="宋体" w:eastAsia="宋体" w:cs="宋体"/>
          <w:b/>
          <w:bCs/>
          <w:color w:val="auto"/>
          <w:sz w:val="24"/>
        </w:rPr>
        <w:t xml:space="preserve">（身份证原件扫描件加盖公章）</w:t>
      </w:r>
      <w:r>
        <w:rPr>
          <w:rFonts w:hint="eastAsia" w:ascii="宋体" w:hAnsi="宋体" w:eastAsia="宋体" w:cs="宋体"/>
          <w:color w:val="auto"/>
          <w:sz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授权委托人参加</w:t>
      </w:r>
      <w:r>
        <w:rPr>
          <w:rFonts w:hint="eastAsia" w:ascii="宋体" w:hAnsi="宋体" w:cs="宋体"/>
          <w:color w:val="auto"/>
          <w:sz w:val="24"/>
          <w:lang w:val="en-US" w:eastAsia="zh-CN"/>
        </w:rPr>
        <w:t xml:space="preserve">投标</w:t>
      </w:r>
      <w:r>
        <w:rPr>
          <w:rFonts w:hint="eastAsia" w:ascii="宋体" w:hAnsi="宋体" w:eastAsia="宋体" w:cs="宋体"/>
          <w:color w:val="auto"/>
          <w:sz w:val="24"/>
        </w:rPr>
        <w:t xml:space="preserve">的，提供授权委托书（格式按照示范格式二要求）和受托人有效身份证</w:t>
      </w:r>
      <w:r>
        <w:rPr>
          <w:rFonts w:hint="eastAsia" w:ascii="宋体" w:hAnsi="宋体" w:eastAsia="宋体" w:cs="宋体"/>
          <w:b/>
          <w:bCs/>
          <w:color w:val="auto"/>
          <w:sz w:val="24"/>
        </w:rPr>
        <w:t xml:space="preserve">（身份证原件扫描件加盖公章）</w:t>
      </w:r>
      <w:r>
        <w:rPr>
          <w:rFonts w:hint="eastAsia" w:ascii="宋体" w:hAnsi="宋体" w:eastAsia="宋体" w:cs="宋体"/>
          <w:color w:val="auto"/>
          <w:sz w:val="24"/>
        </w:rPr>
        <w:t xml:space="preserve">。</w:t>
      </w:r>
      <w:r/>
    </w:p>
    <w:p>
      <w:pPr>
        <w:ind w:firstLine="24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五</w:t>
      </w:r>
      <w:r>
        <w:rPr>
          <w:rFonts w:hint="eastAsia" w:ascii="宋体" w:hAnsi="宋体" w:cs="宋体"/>
          <w:color w:val="auto"/>
          <w:sz w:val="24"/>
          <w:lang w:eastAsia="zh-CN"/>
        </w:rPr>
        <w:t xml:space="preserve">）</w:t>
      </w:r>
      <w:r>
        <w:rPr>
          <w:rFonts w:hint="eastAsia" w:ascii="宋体" w:hAnsi="宋体" w:cs="宋体"/>
          <w:color w:val="auto"/>
          <w:sz w:val="24"/>
        </w:rPr>
        <w:t xml:space="preserve">本次项目不接受联合体</w:t>
      </w:r>
      <w:r>
        <w:rPr>
          <w:rFonts w:hint="eastAsia" w:ascii="宋体" w:hAnsi="宋体" w:cs="宋体"/>
          <w:color w:val="auto"/>
          <w:sz w:val="24"/>
          <w:lang w:eastAsia="zh-CN"/>
        </w:rPr>
        <w:t xml:space="preserve">投标人参加投标</w:t>
      </w:r>
      <w:r>
        <w:rPr>
          <w:rFonts w:hint="eastAsia" w:ascii="宋体" w:hAnsi="宋体" w:cs="宋体"/>
          <w:b/>
          <w:bCs/>
          <w:color w:val="auto"/>
          <w:sz w:val="24"/>
        </w:rPr>
        <w:t xml:space="preserve">（不是联合体即可）</w:t>
      </w:r>
      <w:r>
        <w:rPr>
          <w:rFonts w:hint="eastAsia" w:ascii="宋体" w:hAnsi="宋体" w:cs="宋体"/>
          <w:color w:val="auto"/>
          <w:sz w:val="24"/>
        </w:rPr>
        <w:t xml:space="preserve">。</w:t>
      </w:r>
      <w:r/>
    </w:p>
    <w:p>
      <w:pPr>
        <w:ind w:firstLine="47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注</w:t>
      </w:r>
      <w:r>
        <w:rPr>
          <w:rFonts w:hint="eastAsia" w:ascii="宋体" w:hAnsi="宋体" w:cs="宋体"/>
          <w:color w:val="auto"/>
          <w:sz w:val="24"/>
          <w:szCs w:val="24"/>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cs="宋体"/>
          <w:color w:val="auto"/>
          <w:sz w:val="24"/>
        </w:rPr>
      </w:pPr>
      <w:r/>
      <w:bookmarkStart w:id="20" w:name="_Toc27606_WPSOffice_Level1"/>
      <w:r>
        <w:rPr>
          <w:rFonts w:hint="eastAsia" w:ascii="宋体" w:hAnsi="宋体" w:cs="宋体"/>
          <w:color w:val="auto"/>
          <w:sz w:val="24"/>
          <w:lang w:val="en-US" w:eastAsia="zh-CN"/>
        </w:rPr>
        <w:t xml:space="preserve">1.</w:t>
      </w:r>
      <w:r>
        <w:rPr>
          <w:rFonts w:hint="eastAsia" w:ascii="宋体" w:hAnsi="宋体" w:cs="宋体"/>
          <w:color w:val="auto"/>
          <w:sz w:val="24"/>
        </w:rPr>
        <w:t xml:space="preserve">以上所有要求提供的证明材料在投标截止时间之前扫描件加盖公章</w:t>
      </w:r>
      <w:r>
        <w:rPr>
          <w:rFonts w:hint="eastAsia" w:ascii="宋体" w:hAnsi="宋体" w:cs="宋体"/>
          <w:color w:val="auto"/>
          <w:sz w:val="24"/>
          <w:lang w:eastAsia="zh-CN"/>
        </w:rPr>
        <w:t xml:space="preserve">（</w:t>
      </w:r>
      <w:r>
        <w:rPr>
          <w:rFonts w:hint="eastAsia" w:ascii="宋体" w:hAnsi="宋体" w:cs="宋体"/>
          <w:color w:val="auto"/>
          <w:sz w:val="24"/>
        </w:rPr>
        <w:t xml:space="preserve">电子公章</w:t>
      </w:r>
      <w:r>
        <w:rPr>
          <w:rFonts w:hint="eastAsia" w:ascii="宋体" w:hAnsi="宋体" w:cs="宋体"/>
          <w:color w:val="auto"/>
          <w:sz w:val="24"/>
          <w:lang w:eastAsia="zh-CN"/>
        </w:rPr>
        <w:t xml:space="preserve">）</w:t>
      </w:r>
      <w:r>
        <w:rPr>
          <w:rFonts w:hint="eastAsia" w:ascii="宋体" w:hAnsi="宋体" w:cs="宋体"/>
          <w:color w:val="auto"/>
          <w:sz w:val="24"/>
        </w:rPr>
        <w:t xml:space="preserve">上传，用投标文件制作工具制作并生成上传至苏采云平台，纸质文件不作为审查对象。如电子投标文件无法查阅上述所要求提供</w:t>
      </w:r>
      <w:r>
        <w:rPr>
          <w:rFonts w:hint="eastAsia" w:ascii="宋体" w:hAnsi="宋体" w:cs="宋体"/>
          <w:color w:val="auto"/>
          <w:sz w:val="24"/>
          <w:lang w:eastAsia="zh-CN"/>
        </w:rPr>
        <w:t xml:space="preserve">的证</w:t>
      </w:r>
      <w:r>
        <w:rPr>
          <w:rFonts w:hint="eastAsia" w:ascii="宋体" w:hAnsi="宋体" w:cs="宋体"/>
          <w:color w:val="auto"/>
          <w:sz w:val="24"/>
        </w:rPr>
        <w:t xml:space="preserve">明材料的评审小组将以未提供证明材料取消其继续参加评审的资格。</w:t>
      </w:r>
      <w:r/>
    </w:p>
    <w:p>
      <w:pPr>
        <w:numPr>
          <w:ilvl w:val="0"/>
          <w:numId w:val="0"/>
        </w:numPr>
        <w:ind w:firstLine="480"/>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投标人</w:t>
      </w:r>
      <w:r>
        <w:rPr>
          <w:rFonts w:hint="eastAsia" w:ascii="宋体" w:hAnsi="宋体" w:cs="宋体"/>
          <w:color w:val="auto"/>
          <w:sz w:val="24"/>
          <w:lang w:eastAsia="zh-CN"/>
        </w:rPr>
        <w:t xml:space="preserve">所提</w:t>
      </w:r>
      <w:r>
        <w:rPr>
          <w:rFonts w:hint="eastAsia" w:ascii="宋体" w:hAnsi="宋体" w:cs="宋体"/>
          <w:color w:val="auto"/>
          <w:sz w:val="24"/>
        </w:rPr>
        <w:t xml:space="preserve">供的资格证明材料应真实、有效，招标人保留对投标人提供的资格证明材料进行核查的权利。如发现投标人提供虚假资格证明材料，</w:t>
      </w:r>
      <w:r>
        <w:rPr>
          <w:rFonts w:hint="eastAsia" w:ascii="宋体" w:hAnsi="宋体" w:cs="宋体"/>
          <w:b w:val="0"/>
          <w:bCs w:val="0"/>
          <w:color w:val="auto"/>
          <w:sz w:val="24"/>
          <w:szCs w:val="24"/>
        </w:rPr>
        <w:t xml:space="preserve">履约保证金将不予退还，招标人有权终止合同。</w:t>
      </w:r>
      <w:r/>
    </w:p>
    <w:p>
      <w:pPr>
        <w:numPr>
          <w:ilvl w:val="0"/>
          <w:numId w:val="0"/>
        </w:numPr>
        <w:ind w:firstLine="480"/>
        <w:jc w:val="left"/>
        <w:keepNext w:val="0"/>
        <w:pageBreakBefore w:val="0"/>
        <w:spacing w:line="360" w:lineRule="auto"/>
        <w:widowControl/>
        <w:rPr>
          <w:rFonts w:hint="eastAsia" w:ascii="宋体" w:hAnsi="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rPr>
        <w:t xml:space="preserve">上述相关原件，中标人必须在签订合同时提交</w:t>
      </w:r>
      <w:r>
        <w:rPr>
          <w:rFonts w:hint="eastAsia" w:ascii="宋体" w:hAnsi="宋体" w:cs="宋体"/>
          <w:color w:val="auto"/>
          <w:sz w:val="24"/>
          <w:lang w:eastAsia="zh-CN"/>
        </w:rPr>
        <w:t xml:space="preserve">招标人</w:t>
      </w:r>
      <w:r>
        <w:rPr>
          <w:rFonts w:hint="eastAsia" w:ascii="宋体" w:hAnsi="宋体" w:cs="宋体"/>
          <w:color w:val="auto"/>
          <w:sz w:val="24"/>
        </w:rPr>
        <w:t xml:space="preserve">审查，中标投标人未能提供上述所有原件的，则取消其中标资格。</w:t>
      </w:r>
      <w:r/>
    </w:p>
    <w:p>
      <w:pPr>
        <w:numPr>
          <w:ilvl w:val="0"/>
          <w:numId w:val="0"/>
        </w:numPr>
        <w:jc w:val="left"/>
        <w:keepNext w:val="0"/>
        <w:pageBreakBefore w:val="0"/>
        <w:spacing w:line="360" w:lineRule="auto"/>
        <w:widowControl/>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 xml:space="preserve">九</w:t>
      </w:r>
      <w:r>
        <w:rPr>
          <w:rFonts w:hint="eastAsia" w:ascii="宋体" w:hAnsi="宋体" w:eastAsia="宋体" w:cs="宋体"/>
          <w:b/>
          <w:bCs/>
          <w:color w:val="auto"/>
          <w:sz w:val="28"/>
          <w:szCs w:val="28"/>
          <w:lang w:val="en-US" w:eastAsia="zh-CN"/>
        </w:rPr>
        <w:t xml:space="preserve">、</w:t>
      </w:r>
      <w:r>
        <w:rPr>
          <w:rFonts w:hint="eastAsia" w:ascii="宋体" w:hAnsi="宋体" w:eastAsia="宋体" w:cs="宋体"/>
          <w:b/>
          <w:bCs/>
          <w:color w:val="auto"/>
          <w:sz w:val="28"/>
          <w:szCs w:val="28"/>
        </w:rPr>
        <w:t xml:space="preserve">涉及无效</w:t>
      </w:r>
      <w:r>
        <w:rPr>
          <w:rFonts w:hint="eastAsia" w:ascii="宋体" w:hAnsi="宋体" w:cs="宋体"/>
          <w:b/>
          <w:bCs/>
          <w:color w:val="auto"/>
          <w:sz w:val="28"/>
          <w:szCs w:val="28"/>
          <w:lang w:eastAsia="zh-CN"/>
        </w:rPr>
        <w:t xml:space="preserve">投标文件</w:t>
      </w:r>
      <w:r>
        <w:rPr>
          <w:rFonts w:hint="eastAsia" w:ascii="宋体" w:hAnsi="宋体" w:eastAsia="宋体" w:cs="宋体"/>
          <w:b/>
          <w:bCs/>
          <w:color w:val="auto"/>
          <w:sz w:val="28"/>
          <w:szCs w:val="28"/>
        </w:rPr>
        <w:t xml:space="preserve">条款中</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必须提供的证明文件</w:t>
      </w:r>
      <w:bookmarkEnd w:id="20"/>
      <w:r/>
      <w:r/>
    </w:p>
    <w:p>
      <w:pPr>
        <w:numPr>
          <w:ilvl w:val="0"/>
          <w:numId w:val="0"/>
        </w:numPr>
        <w:jc w:val="left"/>
        <w:keepNext w:val="0"/>
        <w:pageBreakBefore w:val="0"/>
        <w:spacing w:line="360" w:lineRule="auto"/>
        <w:widowControl/>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（投标人参加投标时，按照招标文件相关要求提供材料）</w:t>
      </w:r>
      <w:r/>
    </w:p>
    <w:p>
      <w:pPr>
        <w:numPr>
          <w:ilvl w:val="0"/>
          <w:numId w:val="16"/>
        </w:numPr>
        <w:jc w:val="left"/>
        <w:keepNext w:val="0"/>
        <w:pageBreakBefore w:val="0"/>
        <w:spacing w:line="360" w:lineRule="auto"/>
        <w:widowControl/>
        <w:rPr>
          <w:rFonts w:hint="eastAsia" w:ascii="宋体" w:hAnsi="宋体" w:eastAsia="宋体" w:cs="宋体"/>
          <w:b/>
          <w:bCs/>
          <w:color w:val="auto"/>
          <w:sz w:val="28"/>
          <w:szCs w:val="28"/>
        </w:rPr>
      </w:pPr>
      <w:r/>
      <w:bookmarkStart w:id="21" w:name="_Toc19257_WPSOffice_Level1"/>
      <w:r>
        <w:rPr>
          <w:rFonts w:hint="eastAsia" w:ascii="宋体" w:hAnsi="宋体" w:eastAsia="宋体" w:cs="宋体"/>
          <w:b/>
          <w:bCs/>
          <w:color w:val="auto"/>
          <w:sz w:val="28"/>
          <w:szCs w:val="28"/>
        </w:rPr>
        <w:t xml:space="preserve">最终价格评审时</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需提供的证明文件</w:t>
      </w:r>
      <w:bookmarkEnd w:id="21"/>
      <w:r/>
      <w:r/>
    </w:p>
    <w:p>
      <w:pPr>
        <w:numPr>
          <w:ilvl w:val="0"/>
          <w:numId w:val="0"/>
        </w:numPr>
        <w:jc w:val="left"/>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（请投标人仔细阅读招标文件 评标办法及评分细则）</w:t>
      </w:r>
      <w:r/>
    </w:p>
    <w:p>
      <w:pPr>
        <w:jc w:val="left"/>
        <w:keepNext w:val="0"/>
        <w:pageBreakBefore w:val="0"/>
        <w:spacing w:line="360" w:lineRule="auto"/>
        <w:widowControl/>
        <w:rPr>
          <w:rFonts w:hint="eastAsia" w:ascii="宋体" w:hAnsi="宋体" w:eastAsia="宋体" w:cs="宋体"/>
          <w:b/>
          <w:bCs/>
          <w:color w:val="auto"/>
          <w:sz w:val="28"/>
          <w:szCs w:val="28"/>
        </w:rPr>
      </w:pPr>
      <w:r/>
      <w:bookmarkStart w:id="22" w:name="_Toc24951_WPSOffice_Level1"/>
      <w:r>
        <w:rPr>
          <w:rFonts w:hint="eastAsia" w:ascii="宋体" w:hAnsi="宋体" w:cs="宋体"/>
          <w:b/>
          <w:bCs/>
          <w:color w:val="auto"/>
          <w:sz w:val="28"/>
          <w:szCs w:val="28"/>
          <w:lang w:val="en-US" w:eastAsia="zh-CN"/>
        </w:rPr>
        <w:t xml:space="preserve">十一</w:t>
      </w: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认为有必要提供并说明的</w:t>
      </w:r>
      <w:r>
        <w:rPr>
          <w:rFonts w:hint="eastAsia" w:ascii="宋体" w:hAnsi="宋体" w:cs="宋体"/>
          <w:b/>
          <w:bCs/>
          <w:color w:val="auto"/>
          <w:sz w:val="28"/>
          <w:szCs w:val="28"/>
          <w:lang w:eastAsia="zh-CN"/>
        </w:rPr>
        <w:t xml:space="preserve">其他</w:t>
      </w:r>
      <w:r>
        <w:rPr>
          <w:rFonts w:hint="eastAsia" w:ascii="宋体" w:hAnsi="宋体" w:eastAsia="宋体" w:cs="宋体"/>
          <w:b/>
          <w:bCs/>
          <w:color w:val="auto"/>
          <w:sz w:val="28"/>
          <w:szCs w:val="28"/>
        </w:rPr>
        <w:t xml:space="preserve">资料</w:t>
      </w:r>
      <w:bookmarkEnd w:id="22"/>
      <w:r/>
      <w:r/>
    </w:p>
    <w:p>
      <w:pPr>
        <w:jc w:val="left"/>
        <w:keepNext w:val="0"/>
        <w:pageBreakBefore w:val="0"/>
        <w:spacing w:line="360" w:lineRule="auto"/>
        <w:widowControl/>
        <w:rPr>
          <w:rFonts w:hint="eastAsia" w:ascii="宋体" w:hAnsi="宋体" w:eastAsia="宋体" w:cs="宋体"/>
          <w:b/>
          <w:color w:val="auto"/>
          <w:sz w:val="28"/>
          <w:szCs w:val="28"/>
        </w:rPr>
      </w:pPr>
      <w:r>
        <w:rPr>
          <w:rFonts w:hint="eastAsia" w:ascii="宋体" w:hAnsi="宋体" w:eastAsia="宋体" w:cs="宋体"/>
          <w:color w:val="auto"/>
          <w:sz w:val="28"/>
          <w:szCs w:val="28"/>
        </w:rPr>
        <w:t xml:space="preserve">（格式由投标人自定，加盖投标人公章</w:t>
      </w:r>
      <w:r>
        <w:rPr>
          <w:rFonts w:hint="eastAsia" w:ascii="宋体" w:hAnsi="宋体" w:eastAsia="宋体" w:cs="宋体"/>
          <w:color w:val="auto"/>
          <w:sz w:val="28"/>
          <w:szCs w:val="28"/>
          <w:lang w:eastAsia="zh-CN"/>
        </w:rPr>
        <w:t xml:space="preserve">）</w:t>
      </w:r>
      <w:r/>
    </w:p>
    <w:p>
      <w:pPr>
        <w:jc w:val="center"/>
        <w:keepNext w:val="0"/>
        <w:pageBreakBefore w:val="0"/>
        <w:spacing w:line="360" w:lineRule="auto"/>
        <w:rPr>
          <w:rFonts w:hint="eastAsia" w:ascii="宋体" w:hAnsi="宋体" w:eastAsia="宋体" w:cs="宋体"/>
          <w:color w:val="auto"/>
          <w:sz w:val="32"/>
          <w:szCs w:val="32"/>
        </w:rPr>
      </w:pPr>
      <w:r/>
      <w:bookmarkStart w:id="23" w:name="_Toc27261_WPSOffice_Level1"/>
      <w:r>
        <w:rPr>
          <w:rFonts w:hint="eastAsia" w:ascii="宋体" w:hAnsi="宋体" w:eastAsia="宋体" w:cs="宋体"/>
          <w:b/>
          <w:color w:val="auto"/>
          <w:sz w:val="28"/>
          <w:szCs w:val="28"/>
        </w:rPr>
        <w:br w:type="page" w:clear="all"/>
      </w:r>
      <w:r>
        <w:rPr>
          <w:rFonts w:hint="eastAsia" w:ascii="宋体" w:hAnsi="宋体" w:cs="宋体"/>
          <w:b/>
          <w:color w:val="auto"/>
          <w:sz w:val="32"/>
          <w:szCs w:val="32"/>
          <w:lang w:val="en-US" w:eastAsia="zh-CN"/>
        </w:rPr>
        <w:t xml:space="preserve">十二</w:t>
      </w:r>
      <w:r>
        <w:rPr>
          <w:rFonts w:hint="eastAsia" w:ascii="宋体" w:hAnsi="宋体" w:eastAsia="宋体" w:cs="宋体"/>
          <w:b/>
          <w:color w:val="auto"/>
          <w:sz w:val="32"/>
          <w:szCs w:val="32"/>
        </w:rPr>
        <w:t xml:space="preserve">、示范格式</w:t>
      </w:r>
      <w:bookmarkEnd w:id="23"/>
      <w:r/>
      <w:r/>
    </w:p>
    <w:p>
      <w:pPr>
        <w:keepNext w:val="0"/>
        <w:pageBreakBefore w:val="0"/>
        <w:spacing w:line="360" w:lineRule="auto"/>
        <w:rPr>
          <w:rFonts w:hint="eastAsia" w:ascii="宋体" w:hAnsi="宋体" w:eastAsia="宋体" w:cs="宋体"/>
          <w:b/>
          <w:bCs/>
          <w:color w:val="auto"/>
          <w:sz w:val="36"/>
          <w:szCs w:val="36"/>
        </w:rPr>
      </w:pPr>
      <w:r/>
      <w:bookmarkStart w:id="24" w:name="_Toc29021_WPSOffice_Level1"/>
      <w:r>
        <w:rPr>
          <w:rFonts w:hint="eastAsia" w:ascii="宋体" w:hAnsi="宋体" w:eastAsia="宋体" w:cs="宋体"/>
          <w:b w:val="0"/>
          <w:bCs/>
          <w:color w:val="auto"/>
          <w:sz w:val="28"/>
          <w:szCs w:val="28"/>
        </w:rPr>
        <w:t xml:space="preserve">示范格式一</w:t>
      </w:r>
      <w:bookmarkEnd w:id="24"/>
      <w:r/>
      <w:r/>
    </w:p>
    <w:p>
      <w:pPr>
        <w:jc w:val="center"/>
        <w:keepNext w:val="0"/>
        <w:pageBreakBefore w:val="0"/>
        <w:spacing w:line="360" w:lineRule="auto"/>
        <w:rPr>
          <w:rFonts w:hint="eastAsia" w:ascii="宋体" w:hAnsi="宋体" w:eastAsia="宋体" w:cs="宋体"/>
          <w:color w:val="auto"/>
          <w:sz w:val="24"/>
          <w:szCs w:val="24"/>
          <w:lang w:val="zh-CN"/>
        </w:rPr>
      </w:pPr>
      <w:r/>
      <w:bookmarkStart w:id="25" w:name="_Toc10072_WPSOffice_Level1"/>
      <w:r>
        <w:rPr>
          <w:rFonts w:hint="eastAsia" w:ascii="宋体" w:hAnsi="宋体" w:eastAsia="宋体" w:cs="宋体"/>
          <w:b/>
          <w:bCs/>
          <w:color w:val="auto"/>
          <w:sz w:val="32"/>
          <w:szCs w:val="32"/>
        </w:rPr>
        <w:t xml:space="preserve">法定代表人资格证明</w:t>
      </w:r>
      <w:bookmarkEnd w:id="25"/>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单位名称</w:t>
      </w:r>
      <w:r>
        <w:rPr>
          <w:rFonts w:hint="eastAsia" w:ascii="宋体" w:hAnsi="宋体" w:cs="宋体"/>
          <w:color w:val="auto"/>
          <w:sz w:val="24"/>
          <w:szCs w:val="24"/>
          <w:lang w:val="zh-CN"/>
        </w:rPr>
        <w:t xml:space="preserve">：</w:t>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地址</w:t>
      </w:r>
      <w:r>
        <w:rPr>
          <w:rFonts w:hint="eastAsia" w:ascii="宋体" w:hAnsi="宋体" w:cs="宋体"/>
          <w:color w:val="auto"/>
          <w:sz w:val="24"/>
          <w:szCs w:val="24"/>
          <w:lang w:val="zh-CN"/>
        </w:rPr>
        <w:t xml:space="preserve">：</w:t>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姓名</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       性别</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      年龄</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      职务</w:t>
      </w:r>
      <w:r>
        <w:rPr>
          <w:rFonts w:hint="eastAsia" w:ascii="宋体" w:hAnsi="宋体" w:cs="宋体"/>
          <w:color w:val="auto"/>
          <w:sz w:val="24"/>
          <w:szCs w:val="24"/>
          <w:lang w:val="zh-CN"/>
        </w:rPr>
        <w:t xml:space="preserve">：</w:t>
      </w:r>
      <w:r/>
    </w:p>
    <w:p>
      <w:pPr>
        <w:ind w:left="1"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left="1"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系</w:t>
      </w:r>
      <w:r>
        <w:rPr>
          <w:rFonts w:hint="eastAsia" w:ascii="宋体" w:hAnsi="宋体" w:eastAsia="宋体" w:cs="宋体"/>
          <w:color w:val="auto"/>
          <w:sz w:val="24"/>
          <w:szCs w:val="24"/>
          <w:u w:val="single"/>
          <w:lang w:val="zh-CN"/>
        </w:rPr>
        <w:t xml:space="preserve"> （</w:t>
      </w:r>
      <w:r>
        <w:rPr>
          <w:rFonts w:hint="eastAsia" w:ascii="宋体" w:hAnsi="宋体" w:cs="宋体"/>
          <w:color w:val="auto"/>
          <w:sz w:val="24"/>
          <w:szCs w:val="24"/>
          <w:u w:val="single"/>
          <w:lang w:val="zh-CN"/>
        </w:rPr>
        <w:t xml:space="preserve">投标人</w:t>
      </w:r>
      <w:r>
        <w:rPr>
          <w:rFonts w:hint="eastAsia" w:ascii="宋体" w:hAnsi="宋体" w:eastAsia="宋体" w:cs="宋体"/>
          <w:color w:val="auto"/>
          <w:sz w:val="24"/>
          <w:szCs w:val="24"/>
          <w:u w:val="single"/>
          <w:lang w:val="zh-CN"/>
        </w:rPr>
        <w:t xml:space="preserve">名称）</w:t>
      </w:r>
      <w:r>
        <w:rPr>
          <w:rFonts w:hint="eastAsia" w:ascii="宋体" w:hAnsi="宋体" w:eastAsia="宋体" w:cs="宋体"/>
          <w:color w:val="auto"/>
          <w:sz w:val="24"/>
          <w:szCs w:val="24"/>
          <w:lang w:val="zh-CN"/>
        </w:rPr>
        <w:t xml:space="preserve">的法定代表人。</w:t>
      </w:r>
      <w:r>
        <w:rPr>
          <w:rFonts w:hint="eastAsia" w:ascii="宋体" w:hAnsi="宋体" w:eastAsia="宋体" w:cs="宋体"/>
          <w:color w:val="auto"/>
          <w:sz w:val="24"/>
          <w:szCs w:val="24"/>
        </w:rPr>
        <w:t xml:space="preserve">为参与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项目，签署上述项目的投标文件、进行招标</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签署合同和处理与之有关的一切事宜。</w:t>
      </w:r>
      <w:r/>
    </w:p>
    <w:p>
      <w:pPr>
        <w:ind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特此证明。</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28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2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ind w:firstLine="2736"/>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101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1010"/>
        <w:keepNext w:val="0"/>
        <w:pageBreakBefore w:val="0"/>
        <w:spacing w:line="360" w:lineRule="auto"/>
        <w:rPr>
          <w:rFonts w:hint="eastAsia" w:ascii="宋体" w:hAnsi="宋体" w:eastAsia="宋体" w:cs="宋体"/>
          <w:b w:val="0"/>
          <w:bCs/>
          <w:color w:val="auto"/>
          <w:sz w:val="28"/>
          <w:szCs w:val="28"/>
          <w:u w:val="single"/>
        </w:rPr>
      </w:pPr>
      <w:r/>
      <w:bookmarkStart w:id="26" w:name="_Toc21571_WPSOffice_Level1"/>
      <w:r>
        <w:rPr>
          <w:rFonts w:hint="eastAsia" w:ascii="宋体" w:hAnsi="宋体" w:eastAsia="宋体" w:cs="宋体"/>
          <w:b/>
          <w:color w:val="auto"/>
          <w:sz w:val="24"/>
          <w:szCs w:val="24"/>
        </w:rPr>
        <w:br w:type="page" w:clear="all"/>
      </w:r>
      <w:r>
        <w:rPr>
          <w:rFonts w:hint="eastAsia" w:ascii="宋体" w:hAnsi="宋体" w:eastAsia="宋体" w:cs="宋体"/>
          <w:b w:val="0"/>
          <w:bCs/>
          <w:color w:val="auto"/>
          <w:sz w:val="28"/>
          <w:szCs w:val="28"/>
        </w:rPr>
        <w:t xml:space="preserve">示范格式二</w:t>
      </w:r>
      <w:bookmarkEnd w:id="26"/>
      <w:r/>
      <w:r/>
    </w:p>
    <w:p>
      <w:pPr>
        <w:jc w:val="center"/>
        <w:keepNext w:val="0"/>
        <w:pageBreakBefore w:val="0"/>
        <w:spacing w:line="360" w:lineRule="auto"/>
        <w:rPr>
          <w:rFonts w:hint="eastAsia" w:ascii="宋体" w:hAnsi="宋体" w:eastAsia="宋体" w:cs="宋体"/>
          <w:b/>
          <w:bCs/>
          <w:color w:val="auto"/>
          <w:sz w:val="32"/>
          <w:szCs w:val="32"/>
        </w:rPr>
      </w:pPr>
      <w:r/>
      <w:bookmarkStart w:id="27" w:name="_Toc5342_WPSOffice_Level1"/>
      <w:r>
        <w:rPr>
          <w:rFonts w:hint="eastAsia" w:ascii="宋体" w:hAnsi="宋体" w:eastAsia="宋体" w:cs="宋体"/>
          <w:b/>
          <w:bCs/>
          <w:color w:val="auto"/>
          <w:sz w:val="32"/>
          <w:szCs w:val="32"/>
        </w:rPr>
        <w:t xml:space="preserve">授权委托书</w:t>
      </w:r>
      <w:bookmarkEnd w:id="27"/>
      <w:r/>
      <w:r/>
    </w:p>
    <w:p>
      <w:pPr>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招标人名称</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bCs/>
          <w:color w:val="auto"/>
          <w:sz w:val="24"/>
          <w:szCs w:val="24"/>
          <w:lang w:eastAsia="zh-CN"/>
        </w:rPr>
        <w:t xml:space="preserve">：</w:t>
      </w:r>
      <w:r/>
    </w:p>
    <w:p>
      <w:pPr>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本授权书宣告</w:t>
      </w:r>
      <w:r>
        <w:rPr>
          <w:rFonts w:hint="eastAsia" w:ascii="宋体" w:hAnsi="宋体" w:cs="宋体"/>
          <w:color w:val="auto"/>
          <w:sz w:val="24"/>
          <w:szCs w:val="24"/>
          <w:lang w:eastAsia="zh-CN"/>
        </w:rPr>
        <w:t xml:space="preserve">：</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委托方</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地址</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法定代表人</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性别</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出生日期</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所在单位</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职务</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联系方式</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兹委托受托人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代表我公司参加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招标人名称</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组织的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项目名称</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（项目编</w:t>
      </w:r>
      <w:r>
        <w:rPr>
          <w:rFonts w:hint="eastAsia" w:ascii="宋体" w:hAnsi="宋体" w:eastAsia="宋体" w:cs="宋体"/>
          <w:color w:val="auto"/>
          <w:sz w:val="24"/>
          <w:szCs w:val="24"/>
          <w:highlight w:val="none"/>
        </w:rPr>
        <w:t xml:space="preserve">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highlight w:val="none"/>
        </w:rPr>
        <w:t xml:space="preserve">）采购项目的政府采购活动，受托人有权在该招标活动中，以我单位的名义签署投标函和投标文件，与招标人协商、澄清、解释，签订合同书并执行一切与此有关的事项。</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受托人在办理上述事宜过程中以其自己的名义所签署的所有文件我公司均</w:t>
      </w:r>
      <w:r>
        <w:rPr>
          <w:rFonts w:hint="eastAsia" w:ascii="宋体" w:hAnsi="宋体" w:cs="宋体"/>
          <w:color w:val="auto"/>
          <w:sz w:val="24"/>
          <w:szCs w:val="24"/>
          <w:lang w:eastAsia="zh-CN"/>
        </w:rPr>
        <w:t xml:space="preserve">予以</w:t>
      </w:r>
      <w:r>
        <w:rPr>
          <w:rFonts w:hint="eastAsia" w:ascii="宋体" w:hAnsi="宋体" w:eastAsia="宋体" w:cs="宋体"/>
          <w:color w:val="auto"/>
          <w:sz w:val="24"/>
          <w:szCs w:val="24"/>
        </w:rPr>
        <w:t xml:space="preserve">承认。受</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托人无转委托权。</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委托期限</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至上述事宜处理完毕止。</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p>
    <w:p>
      <w:pPr>
        <w:rPr>
          <w:rFonts w:hint="eastAsia" w:ascii="宋体" w:hAnsi="宋体" w:eastAsia="宋体" w:cs="宋体"/>
          <w:b/>
          <w:color w:val="auto"/>
          <w:sz w:val="32"/>
        </w:rPr>
      </w:pPr>
      <w:r/>
      <w:bookmarkStart w:id="28" w:name="_Toc8490_WPSOffice_Level1"/>
      <w:r>
        <w:rPr>
          <w:rFonts w:hint="eastAsia" w:ascii="宋体" w:hAnsi="宋体" w:eastAsia="宋体" w:cs="宋体"/>
          <w:b/>
          <w:color w:val="auto"/>
          <w:sz w:val="32"/>
        </w:rPr>
        <w:br w:type="page" w:clear="all"/>
      </w:r>
      <w:r/>
    </w:p>
    <w:p>
      <w:pPr>
        <w:ind w:left="-359" w:firstLine="357"/>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b w:val="0"/>
          <w:bCs/>
          <w:color w:val="auto"/>
          <w:sz w:val="28"/>
          <w:szCs w:val="28"/>
        </w:rPr>
        <w:t xml:space="preserve">示范格式三</w:t>
      </w:r>
      <w:bookmarkEnd w:id="28"/>
      <w:r/>
      <w:r/>
    </w:p>
    <w:p>
      <w:pPr>
        <w:jc w:val="center"/>
        <w:keepNext w:val="0"/>
        <w:pageBreakBefore w:val="0"/>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承诺书</w:t>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spacing w:line="440" w:lineRule="exact"/>
        <w:rPr>
          <w:rFonts w:hint="eastAsia" w:ascii="宋体" w:hAnsi="宋体" w:cs="宋体"/>
          <w:color w:val="auto"/>
          <w:sz w:val="24"/>
        </w:rPr>
      </w:pPr>
      <w:r>
        <w:rPr>
          <w:rFonts w:hint="eastAsia" w:ascii="宋体" w:hAnsi="宋体" w:cs="宋体"/>
          <w:color w:val="auto"/>
          <w:sz w:val="24"/>
        </w:rPr>
        <w:t xml:space="preserve">我单位参加本次采购活动，</w:t>
      </w:r>
      <w:r>
        <w:rPr>
          <w:rFonts w:hint="eastAsia" w:ascii="宋体" w:hAnsi="宋体" w:cs="宋体"/>
          <w:color w:val="auto"/>
          <w:sz w:val="24"/>
          <w:lang w:eastAsia="zh-CN"/>
        </w:rPr>
        <w:t xml:space="preserve">不</w:t>
      </w:r>
      <w:r>
        <w:rPr>
          <w:rFonts w:hint="eastAsia" w:ascii="宋体" w:hAnsi="宋体" w:cs="宋体"/>
          <w:color w:val="auto"/>
          <w:sz w:val="24"/>
        </w:rPr>
        <w:t xml:space="preserve">存在以下情形，承诺如下：</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（2）凡为采购项目提供整体设计、规范编制或者项目管理、监理、检测等服务的供应商，不得再参加本项目的采购活动；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（3）“列入失信被执行人、重大税收违法案件当事人名单、政府采购严重违法失信行为记录名单中的供应商不得参加本项目的采购活动”；</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keepNext w:val="0"/>
        <w:pageBreakBefore w:val="0"/>
        <w:spacing w:line="360" w:lineRule="auto"/>
        <w:rPr>
          <w:rFonts w:hint="eastAsia" w:ascii="宋体" w:hAnsi="宋体" w:cs="宋体"/>
          <w:b w:val="0"/>
          <w:bCs/>
          <w:color w:val="auto"/>
          <w:sz w:val="28"/>
          <w:szCs w:val="28"/>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rPr>
          <w:rFonts w:hint="eastAsia" w:ascii="宋体" w:hAnsi="宋体" w:cs="宋体"/>
          <w:b w:val="0"/>
          <w:bCs/>
          <w:color w:val="auto"/>
          <w:sz w:val="28"/>
          <w:szCs w:val="28"/>
        </w:rPr>
        <w:br w:type="page" w:clear="all"/>
      </w:r>
      <w:r/>
    </w:p>
    <w:p>
      <w:pPr>
        <w:keepNext w:val="0"/>
        <w:pageBreakBefore w:val="0"/>
        <w:spacing w:line="360" w:lineRule="auto"/>
        <w:rPr>
          <w:rFonts w:hint="eastAsia" w:ascii="宋体" w:hAnsi="宋体" w:cs="宋体"/>
          <w:b w:val="0"/>
          <w:bCs w:val="0"/>
          <w:color w:val="auto"/>
          <w:sz w:val="28"/>
          <w:szCs w:val="28"/>
        </w:rPr>
      </w:pPr>
      <w:r>
        <w:rPr>
          <w:rFonts w:hint="eastAsia" w:ascii="宋体" w:hAnsi="宋体" w:cs="宋体"/>
          <w:b w:val="0"/>
          <w:bCs w:val="0"/>
          <w:color w:val="auto"/>
          <w:sz w:val="28"/>
          <w:szCs w:val="28"/>
        </w:rPr>
        <w:t xml:space="preserve">示范格式四</w:t>
      </w:r>
      <w:r/>
    </w:p>
    <w:p>
      <w:pPr>
        <w:jc w:val="center"/>
        <w:keepNext w:val="0"/>
        <w:pageBreakBefore w:val="0"/>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中小企业声明函(货物)</w:t>
      </w:r>
      <w:r/>
    </w:p>
    <w:p>
      <w:pPr>
        <w:pStyle w:val="817"/>
        <w:ind w:left="177" w:right="218" w:firstLine="480"/>
        <w:jc w:val="both"/>
        <w:spacing w:before="78" w:line="431" w:lineRule="auto"/>
        <w:rPr>
          <w:rFonts w:hint="eastAsia" w:ascii="宋体" w:hAnsi="宋体" w:eastAsia="宋体" w:cs="宋体"/>
          <w:sz w:val="24"/>
          <w:szCs w:val="24"/>
        </w:rPr>
      </w:pPr>
      <w:r>
        <w:rPr>
          <w:rFonts w:hint="eastAsia" w:ascii="宋体" w:hAnsi="宋体" w:eastAsia="宋体" w:cs="宋体"/>
          <w:spacing w:val="-1"/>
          <w:sz w:val="24"/>
          <w:szCs w:val="24"/>
        </w:rPr>
        <w:t xml:space="preserve">本公司郑重声明,根据《政府采购促进中小企业</w:t>
      </w:r>
      <w:r>
        <w:rPr>
          <w:rFonts w:hint="eastAsia" w:ascii="宋体" w:hAnsi="宋体" w:eastAsia="宋体" w:cs="宋体"/>
          <w:spacing w:val="-2"/>
          <w:sz w:val="24"/>
          <w:szCs w:val="24"/>
        </w:rPr>
        <w:t xml:space="preserve">发展管理办法》</w:t>
      </w:r>
      <w:r>
        <w:rPr>
          <w:rFonts w:hint="eastAsia" w:ascii="宋体" w:hAnsi="宋体" w:eastAsia="宋体" w:cs="宋体"/>
          <w:spacing w:val="-69"/>
          <w:sz w:val="24"/>
          <w:szCs w:val="24"/>
        </w:rPr>
        <w:t xml:space="preserve"> </w:t>
      </w:r>
      <w:r>
        <w:rPr>
          <w:rFonts w:hint="eastAsia" w:ascii="宋体" w:hAnsi="宋体" w:eastAsia="宋体" w:cs="宋体"/>
          <w:spacing w:val="-2"/>
          <w:sz w:val="24"/>
          <w:szCs w:val="24"/>
        </w:rPr>
        <w:t xml:space="preserve">(财库</w:t>
      </w:r>
      <w:r>
        <w:rPr>
          <w:rFonts w:hint="eastAsia" w:ascii="宋体" w:hAnsi="宋体" w:eastAsia="宋体" w:cs="宋体"/>
          <w:spacing w:val="-2"/>
          <w:sz w:val="24"/>
          <w:szCs w:val="24"/>
          <w:lang w:eastAsia="zh-CN"/>
        </w:rPr>
        <w:t xml:space="preserve">〔2020〕46号</w:t>
      </w:r>
      <w:r>
        <w:rPr>
          <w:rFonts w:hint="eastAsia" w:ascii="宋体" w:hAnsi="宋体" w:eastAsia="宋体" w:cs="宋体"/>
          <w:spacing w:val="-2"/>
          <w:sz w:val="24"/>
          <w:szCs w:val="24"/>
        </w:rPr>
        <w:t xml:space="preserve">)的</w:t>
      </w: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规定,本公司参加</w:t>
      </w:r>
      <w:r>
        <w:rPr>
          <w:rFonts w:hint="eastAsia" w:ascii="宋体" w:hAnsi="宋体" w:eastAsia="宋体" w:cs="宋体"/>
          <w:spacing w:val="2"/>
          <w:sz w:val="24"/>
          <w:szCs w:val="24"/>
          <w:u w:val="single"/>
        </w:rPr>
        <w:t xml:space="preserve">                    </w:t>
      </w:r>
      <w:r>
        <w:rPr>
          <w:rFonts w:hint="eastAsia" w:ascii="宋体" w:hAnsi="宋体" w:eastAsia="宋体" w:cs="宋体"/>
          <w:spacing w:val="-4"/>
          <w:sz w:val="24"/>
          <w:szCs w:val="24"/>
          <w:u w:val="single"/>
        </w:rPr>
        <w:t xml:space="preserve">(单位名称)</w:t>
      </w:r>
      <w:r>
        <w:rPr>
          <w:rFonts w:hint="eastAsia" w:ascii="宋体" w:hAnsi="宋体" w:eastAsia="宋体" w:cs="宋体"/>
          <w:spacing w:val="-4"/>
          <w:sz w:val="24"/>
          <w:szCs w:val="24"/>
        </w:rPr>
        <w:t xml:space="preserve">的</w:t>
      </w:r>
      <w:r>
        <w:rPr>
          <w:rFonts w:hint="eastAsia" w:ascii="宋体" w:hAnsi="宋体" w:eastAsia="宋体" w:cs="宋体"/>
          <w:spacing w:val="6"/>
          <w:sz w:val="24"/>
          <w:szCs w:val="24"/>
          <w:u w:val="single"/>
        </w:rPr>
        <w:t xml:space="preserve">          </w:t>
      </w:r>
      <w:r>
        <w:rPr>
          <w:rFonts w:hint="eastAsia" w:ascii="宋体" w:hAnsi="宋体" w:eastAsia="宋体" w:cs="宋体"/>
          <w:spacing w:val="-4"/>
          <w:sz w:val="24"/>
          <w:szCs w:val="24"/>
          <w:u w:val="single"/>
        </w:rPr>
        <w:t xml:space="preserve">(项目名称)</w:t>
      </w:r>
      <w:r>
        <w:rPr>
          <w:rFonts w:hint="eastAsia" w:ascii="宋体" w:hAnsi="宋体" w:eastAsia="宋体" w:cs="宋体"/>
          <w:spacing w:val="-5"/>
          <w:sz w:val="24"/>
          <w:szCs w:val="24"/>
        </w:rPr>
        <w:t xml:space="preserve">采购活动,提</w:t>
      </w:r>
      <w:r>
        <w:rPr>
          <w:rFonts w:hint="eastAsia" w:ascii="宋体" w:hAnsi="宋体" w:eastAsia="宋体" w:cs="宋体"/>
          <w:sz w:val="24"/>
          <w:szCs w:val="24"/>
        </w:rPr>
        <w:t xml:space="preserve">供的货物全部由符合政策要求的中小企业制造。相关企业（含联</w:t>
      </w:r>
      <w:r>
        <w:rPr>
          <w:rFonts w:hint="eastAsia" w:ascii="宋体" w:hAnsi="宋体" w:eastAsia="宋体" w:cs="宋体"/>
          <w:spacing w:val="-1"/>
          <w:sz w:val="24"/>
          <w:szCs w:val="24"/>
        </w:rPr>
        <w:t xml:space="preserve">合体中的中小企业、签订分包意向协议的中小企业）的具体情况如下：</w:t>
      </w:r>
      <w:r/>
    </w:p>
    <w:p>
      <w:pPr>
        <w:pStyle w:val="817"/>
        <w:ind w:left="180" w:right="218" w:firstLine="14"/>
        <w:jc w:val="both"/>
        <w:spacing w:before="272" w:line="431" w:lineRule="auto"/>
        <w:rPr>
          <w:rFonts w:hint="eastAsia" w:ascii="宋体" w:hAnsi="宋体" w:eastAsia="宋体" w:cs="宋体"/>
          <w:sz w:val="24"/>
          <w:szCs w:val="24"/>
        </w:rPr>
      </w:pPr>
      <w:r>
        <w:rPr>
          <w:rFonts w:hint="eastAsia" w:ascii="宋体" w:hAnsi="宋体" w:eastAsia="宋体" w:cs="宋体"/>
          <w:spacing w:val="-2"/>
          <w:sz w:val="24"/>
          <w:szCs w:val="24"/>
        </w:rPr>
        <w:t xml:space="preserve">1. </w:t>
      </w:r>
      <w:r>
        <w:rPr>
          <w:rFonts w:hint="eastAsia" w:ascii="宋体" w:hAnsi="宋体" w:eastAsia="宋体" w:cs="宋体"/>
          <w:spacing w:val="3"/>
          <w:sz w:val="24"/>
          <w:szCs w:val="24"/>
          <w:u w:val="single"/>
        </w:rPr>
        <w:t xml:space="preserve">               </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     (采购文件中明确的所属行业）</w:t>
      </w:r>
      <w:r>
        <w:rPr>
          <w:rFonts w:hint="eastAsia" w:ascii="宋体" w:hAnsi="宋体" w:eastAsia="宋体" w:cs="宋体"/>
          <w:spacing w:val="-3"/>
          <w:sz w:val="24"/>
          <w:szCs w:val="24"/>
          <w:u w:val="single"/>
        </w:rPr>
        <w:t xml:space="preserve">行业；</w:t>
      </w:r>
      <w:r>
        <w:rPr>
          <w:rFonts w:hint="eastAsia" w:ascii="宋体" w:hAnsi="宋体" w:eastAsia="宋体" w:cs="宋体"/>
          <w:spacing w:val="-3"/>
          <w:sz w:val="24"/>
          <w:szCs w:val="24"/>
        </w:rPr>
        <w:t xml:space="preserve">制造商</w:t>
      </w:r>
      <w:r>
        <w:rPr>
          <w:rFonts w:hint="eastAsia" w:ascii="宋体" w:hAnsi="宋体" w:eastAsia="宋体" w:cs="宋体"/>
          <w:spacing w:val="3"/>
          <w:sz w:val="24"/>
          <w:szCs w:val="24"/>
        </w:rPr>
        <w:t xml:space="preserve">  </w:t>
      </w:r>
      <w:r>
        <w:rPr>
          <w:rFonts w:hint="eastAsia" w:ascii="宋体" w:hAnsi="宋体" w:eastAsia="宋体" w:cs="宋体"/>
          <w:spacing w:val="-1"/>
          <w:sz w:val="24"/>
          <w:szCs w:val="24"/>
        </w:rPr>
        <w:t xml:space="preserve">为</w:t>
      </w:r>
      <w:r>
        <w:rPr>
          <w:rFonts w:hint="eastAsia" w:ascii="宋体" w:hAnsi="宋体" w:eastAsia="宋体" w:cs="宋体"/>
          <w:spacing w:val="-1"/>
          <w:sz w:val="24"/>
          <w:szCs w:val="24"/>
          <w:u w:val="single"/>
        </w:rPr>
        <w:t xml:space="preserve">   （企业名称</w:t>
      </w:r>
      <w:r>
        <w:rPr>
          <w:rFonts w:hint="eastAsia" w:ascii="宋体" w:hAnsi="宋体" w:eastAsia="宋体" w:cs="宋体"/>
          <w:spacing w:val="-7"/>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94"/>
          <w:sz w:val="24"/>
          <w:szCs w:val="24"/>
        </w:rPr>
        <w:t xml:space="preserve"> </w:t>
      </w:r>
      <w:r>
        <w:rPr>
          <w:rFonts w:hint="eastAsia" w:ascii="宋体" w:hAnsi="宋体" w:eastAsia="宋体" w:cs="宋体"/>
          <w:spacing w:val="-7"/>
          <w:sz w:val="24"/>
          <w:szCs w:val="24"/>
        </w:rPr>
        <w:t xml:space="preserve">，</w:t>
      </w:r>
      <w:r>
        <w:rPr>
          <w:rFonts w:hint="eastAsia" w:ascii="宋体" w:hAnsi="宋体" w:eastAsia="宋体" w:cs="宋体"/>
          <w:spacing w:val="-1"/>
          <w:sz w:val="24"/>
          <w:szCs w:val="24"/>
        </w:rPr>
        <w:t xml:space="preserve">从业人员</w:t>
      </w:r>
      <w:r>
        <w:rPr>
          <w:rFonts w:hint="eastAsia" w:ascii="宋体" w:hAnsi="宋体" w:eastAsia="宋体" w:cs="宋体"/>
          <w:spacing w:val="-1"/>
          <w:sz w:val="24"/>
          <w:szCs w:val="24"/>
          <w:u w:val="single"/>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1"/>
          <w:sz w:val="24"/>
          <w:szCs w:val="24"/>
        </w:rPr>
        <w:t xml:space="preserve">人，营业收入为</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z w:val="24"/>
          <w:szCs w:val="24"/>
          <w:u w:val="single"/>
        </w:rPr>
        <w:t xml:space="preserve">       </w:t>
      </w:r>
      <w:r/>
    </w:p>
    <w:p>
      <w:pPr>
        <w:pStyle w:val="817"/>
        <w:ind w:left="183"/>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万元，属于</w:t>
      </w:r>
      <w:r>
        <w:rPr>
          <w:rFonts w:hint="eastAsia" w:ascii="宋体" w:hAnsi="宋体" w:eastAsia="宋体" w:cs="宋体"/>
          <w:spacing w:val="-1"/>
          <w:sz w:val="24"/>
          <w:szCs w:val="24"/>
          <w:u w:val="single"/>
        </w:rPr>
        <w:t xml:space="preserve">      </w:t>
      </w:r>
      <w:r>
        <w:rPr>
          <w:rFonts w:hint="eastAsia" w:ascii="宋体" w:hAnsi="宋体" w:eastAsia="宋体" w:cs="宋体"/>
          <w:spacing w:val="-1"/>
          <w:sz w:val="24"/>
          <w:szCs w:val="24"/>
        </w:rPr>
        <w:t xml:space="preserve">（中型企业、小型企业、微型企业</w:t>
      </w:r>
      <w:r>
        <w:rPr>
          <w:rFonts w:hint="eastAsia" w:ascii="宋体" w:hAnsi="宋体" w:eastAsia="宋体" w:cs="宋体"/>
          <w:spacing w:val="4"/>
          <w:sz w:val="24"/>
          <w:szCs w:val="24"/>
        </w:rPr>
        <w:t xml:space="preserve">）；</w:t>
      </w:r>
      <w:r/>
    </w:p>
    <w:p>
      <w:pPr>
        <w:pStyle w:val="817"/>
        <w:ind w:left="180" w:right="163"/>
        <w:spacing w:before="273" w:line="431" w:lineRule="auto"/>
        <w:rPr>
          <w:rFonts w:hint="eastAsia" w:ascii="宋体" w:hAnsi="宋体" w:eastAsia="宋体" w:cs="宋体"/>
          <w:sz w:val="24"/>
          <w:szCs w:val="24"/>
        </w:rPr>
      </w:pPr>
      <w:r>
        <w:rPr>
          <w:rFonts w:hint="eastAsia" w:ascii="宋体" w:hAnsi="宋体" w:eastAsia="宋体" w:cs="宋体"/>
          <w:spacing w:val="-2"/>
          <w:sz w:val="24"/>
          <w:szCs w:val="24"/>
        </w:rPr>
        <w:t xml:space="preserve">2. </w:t>
      </w:r>
      <w:r>
        <w:rPr>
          <w:rFonts w:hint="eastAsia" w:ascii="宋体" w:hAnsi="宋体" w:eastAsia="宋体" w:cs="宋体"/>
          <w:spacing w:val="4"/>
          <w:sz w:val="24"/>
          <w:szCs w:val="24"/>
          <w:u w:val="single"/>
        </w:rPr>
        <w:t xml:space="preserve">               </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     (采购文件中明确的所属行业）行业；</w:t>
      </w:r>
      <w:r>
        <w:rPr>
          <w:rFonts w:hint="eastAsia" w:ascii="宋体" w:hAnsi="宋体" w:eastAsia="宋体" w:cs="宋体"/>
          <w:spacing w:val="-2"/>
          <w:sz w:val="24"/>
          <w:szCs w:val="24"/>
        </w:rPr>
        <w:t xml:space="preserve">制造商</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为 </w:t>
      </w:r>
      <w:r>
        <w:rPr>
          <w:rFonts w:hint="eastAsia" w:ascii="宋体" w:hAnsi="宋体" w:eastAsia="宋体" w:cs="宋体"/>
          <w:spacing w:val="-1"/>
          <w:sz w:val="24"/>
          <w:szCs w:val="24"/>
          <w:u w:val="single"/>
        </w:rPr>
        <w:t xml:space="preserve">      （企业名称</w:t>
      </w:r>
      <w:r>
        <w:rPr>
          <w:rFonts w:hint="eastAsia" w:ascii="宋体" w:hAnsi="宋体" w:eastAsia="宋体" w:cs="宋体"/>
          <w:spacing w:val="-7"/>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94"/>
          <w:sz w:val="24"/>
          <w:szCs w:val="24"/>
        </w:rPr>
        <w:t xml:space="preserve"> </w:t>
      </w:r>
      <w:r>
        <w:rPr>
          <w:rFonts w:hint="eastAsia" w:ascii="宋体" w:hAnsi="宋体" w:eastAsia="宋体" w:cs="宋体"/>
          <w:spacing w:val="-7"/>
          <w:sz w:val="24"/>
          <w:szCs w:val="24"/>
        </w:rPr>
        <w:t xml:space="preserve">，</w:t>
      </w:r>
      <w:r>
        <w:rPr>
          <w:rFonts w:hint="eastAsia" w:ascii="宋体" w:hAnsi="宋体" w:eastAsia="宋体" w:cs="宋体"/>
          <w:spacing w:val="-1"/>
          <w:sz w:val="24"/>
          <w:szCs w:val="24"/>
        </w:rPr>
        <w:t xml:space="preserve">从业人员</w:t>
      </w:r>
      <w:r>
        <w:rPr>
          <w:rFonts w:hint="eastAsia" w:ascii="宋体" w:hAnsi="宋体" w:eastAsia="宋体" w:cs="宋体"/>
          <w:spacing w:val="-1"/>
          <w:sz w:val="24"/>
          <w:szCs w:val="24"/>
          <w:u w:val="single"/>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1"/>
          <w:sz w:val="24"/>
          <w:szCs w:val="24"/>
        </w:rPr>
        <w:t xml:space="preserve">人，营业收入为</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z w:val="24"/>
          <w:szCs w:val="24"/>
          <w:u w:val="single"/>
        </w:rPr>
        <w:t xml:space="preserve">  </w:t>
      </w:r>
      <w:r/>
    </w:p>
    <w:p>
      <w:pPr>
        <w:pStyle w:val="817"/>
        <w:ind w:left="183"/>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万元，属于</w:t>
      </w:r>
      <w:r>
        <w:rPr>
          <w:rFonts w:hint="eastAsia" w:ascii="宋体" w:hAnsi="宋体" w:eastAsia="宋体" w:cs="宋体"/>
          <w:spacing w:val="-1"/>
          <w:sz w:val="24"/>
          <w:szCs w:val="24"/>
          <w:u w:val="single"/>
        </w:rPr>
        <w:t xml:space="preserve">      （中型企业、小型企业、微型企业</w:t>
      </w:r>
      <w:r>
        <w:rPr>
          <w:rFonts w:hint="eastAsia" w:ascii="宋体" w:hAnsi="宋体" w:eastAsia="宋体" w:cs="宋体"/>
          <w:spacing w:val="4"/>
          <w:sz w:val="24"/>
          <w:szCs w:val="24"/>
          <w:u w:val="single"/>
        </w:rPr>
        <w:t xml:space="preserve">）</w:t>
      </w:r>
      <w:r>
        <w:rPr>
          <w:rFonts w:hint="eastAsia" w:ascii="宋体" w:hAnsi="宋体" w:eastAsia="宋体" w:cs="宋体"/>
          <w:spacing w:val="4"/>
          <w:sz w:val="24"/>
          <w:szCs w:val="24"/>
        </w:rPr>
        <w:t xml:space="preserve">；</w:t>
      </w:r>
      <w:r/>
    </w:p>
    <w:p>
      <w:pPr>
        <w:spacing w:line="369" w:lineRule="auto"/>
        <w:rPr>
          <w:rFonts w:hint="eastAsia" w:ascii="宋体" w:hAnsi="宋体" w:eastAsia="宋体" w:cs="宋体"/>
          <w:sz w:val="24"/>
          <w:szCs w:val="24"/>
        </w:rPr>
      </w:pPr>
      <w:r>
        <w:rPr>
          <w:rFonts w:hint="eastAsia" w:ascii="宋体" w:hAnsi="宋体" w:eastAsia="宋体" w:cs="宋体"/>
          <w:sz w:val="24"/>
          <w:szCs w:val="24"/>
        </w:rPr>
      </w:r>
      <w:r/>
    </w:p>
    <w:p>
      <w:pPr>
        <w:pStyle w:val="817"/>
        <w:ind w:left="183"/>
        <w:spacing w:before="78" w:line="99" w:lineRule="exact"/>
        <w:rPr>
          <w:rFonts w:hint="eastAsia" w:ascii="宋体" w:hAnsi="宋体" w:eastAsia="宋体" w:cs="宋体"/>
          <w:sz w:val="24"/>
          <w:szCs w:val="24"/>
        </w:rPr>
      </w:pPr>
      <w:r>
        <w:rPr>
          <w:rFonts w:hint="eastAsia" w:ascii="宋体" w:hAnsi="宋体" w:eastAsia="宋体" w:cs="宋体"/>
          <w:position w:val="1"/>
          <w:sz w:val="24"/>
          <w:szCs w:val="24"/>
        </w:rPr>
        <w:t xml:space="preserve">......</w:t>
      </w:r>
      <w:r/>
    </w:p>
    <w:p>
      <w:pPr>
        <w:pStyle w:val="817"/>
        <w:ind w:left="684"/>
        <w:spacing w:before="286" w:line="559" w:lineRule="exact"/>
        <w:rPr>
          <w:rFonts w:hint="eastAsia" w:ascii="宋体" w:hAnsi="宋体" w:eastAsia="宋体" w:cs="宋体"/>
          <w:sz w:val="24"/>
          <w:szCs w:val="24"/>
        </w:rPr>
      </w:pPr>
      <w:r>
        <w:rPr>
          <w:rFonts w:hint="eastAsia" w:ascii="宋体" w:hAnsi="宋体" w:eastAsia="宋体" w:cs="宋体"/>
          <w:spacing w:val="-1"/>
          <w:position w:val="24"/>
          <w:sz w:val="24"/>
          <w:szCs w:val="24"/>
        </w:rPr>
        <w:t xml:space="preserve">以上企业，不属于大企业的分支机构,不存在控股股东为大企业的情形,也不存在与大</w:t>
      </w:r>
      <w:r/>
    </w:p>
    <w:p>
      <w:pPr>
        <w:pStyle w:val="817"/>
        <w:ind w:left="181"/>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企业的负责人为同一人的情形。</w:t>
      </w:r>
      <w:r/>
    </w:p>
    <w:p>
      <w:pPr>
        <w:pStyle w:val="817"/>
        <w:ind w:left="658"/>
        <w:spacing w:before="273" w:line="217" w:lineRule="auto"/>
        <w:rPr>
          <w:sz w:val="24"/>
          <w:szCs w:val="24"/>
        </w:rPr>
      </w:pPr>
      <w:r>
        <w:rPr>
          <w:rFonts w:hint="eastAsia" w:ascii="宋体" w:hAnsi="宋体" w:eastAsia="宋体" w:cs="宋体"/>
          <w:sz w:val="24"/>
          <w:szCs w:val="24"/>
        </w:rPr>
        <w:t xml:space="preserve">本企业对上述声明内容的真实性负责。如有虚</w:t>
      </w:r>
      <w:r>
        <w:rPr>
          <w:rFonts w:hint="eastAsia" w:ascii="宋体" w:hAnsi="宋体" w:eastAsia="宋体" w:cs="宋体"/>
          <w:spacing w:val="-1"/>
          <w:sz w:val="24"/>
          <w:szCs w:val="24"/>
        </w:rPr>
        <w:t xml:space="preserve">假,将依法承担相应责任。</w:t>
      </w:r>
      <w:r/>
    </w:p>
    <w:p>
      <w:pPr>
        <w:pStyle w:val="1001"/>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1001"/>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1001"/>
        <w:ind w:firstLine="7022"/>
        <w:jc w:val="both"/>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企业名称(盖章)</w:t>
      </w:r>
      <w:r/>
    </w:p>
    <w:p>
      <w:pPr>
        <w:pStyle w:val="1001"/>
        <w:ind w:firstLine="480"/>
        <w:jc w:val="center"/>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 xml:space="preserve">日 期:</w:t>
      </w:r>
      <w:r/>
    </w:p>
    <w:p>
      <w:pPr>
        <w:pStyle w:val="1001"/>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1001"/>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注：1、从业人员、营业收入、资产总额填报上一年度数据,无上一年度数据的新成立企业可不填报；</w:t>
      </w:r>
      <w:r/>
    </w:p>
    <w:p>
      <w:pPr>
        <w:pStyle w:val="1001"/>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2、非小企业不须提供此函。</w:t>
      </w:r>
      <w:r/>
    </w:p>
    <w:p>
      <w:pPr>
        <w:spacing w:line="219" w:lineRule="auto"/>
        <w:rPr>
          <w:sz w:val="24"/>
          <w:szCs w:val="24"/>
        </w:rPr>
        <w:sectPr>
          <w:footerReference w:type="default" r:id="rId11"/>
          <w:footnotePr/>
          <w:endnotePr/>
          <w:type w:val="nextPage"/>
          <w:pgSz w:w="11911" w:h="16840" w:orient="portrait"/>
          <w:pgMar w:top="1300" w:right="1084" w:bottom="1254" w:left="1080" w:header="893" w:footer="1076" w:gutter="0"/>
          <w:cols w:num="1" w:sep="0" w:space="720" w:equalWidth="1"/>
          <w:docGrid w:linePitch="360"/>
        </w:sectPr>
      </w:pPr>
      <w:r>
        <w:rPr>
          <w:sz w:val="24"/>
          <w:szCs w:val="24"/>
        </w:rPr>
      </w:r>
      <w:r/>
    </w:p>
    <w:p>
      <w:pPr>
        <w:keepNext w:val="0"/>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示范格式五</w:t>
      </w:r>
      <w:r/>
    </w:p>
    <w:p>
      <w:pPr>
        <w:jc w:val="center"/>
        <w:keepNext w:val="0"/>
        <w:pageBreakBefore w:val="0"/>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残疾人福利性单位声明函</w:t>
      </w:r>
      <w:r/>
    </w:p>
    <w:p>
      <w:pPr>
        <w:pStyle w:val="1001"/>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r>
      <w:r/>
    </w:p>
    <w:p>
      <w:pPr>
        <w:pStyle w:val="1001"/>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01"/>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lang w:eastAsia="zh-CN"/>
        </w:rPr>
        <w:t xml:space="preserve">1.</w:t>
      </w:r>
      <w:r>
        <w:rPr>
          <w:rFonts w:hint="eastAsia" w:ascii="宋体" w:hAnsi="宋体" w:cs="宋体"/>
          <w:bCs/>
          <w:color w:val="auto"/>
          <w:sz w:val="24"/>
          <w:szCs w:val="24"/>
        </w:rPr>
        <w:t xml:space="preserve">根据《财政部 民政部 中国残疾人联合会关于促进残疾人就业政府采购政策的通知》（财库〔2017〕141 号）规定的划分标准，本公司为残疾人福利性企业。</w:t>
      </w:r>
      <w:r/>
    </w:p>
    <w:p>
      <w:pPr>
        <w:pStyle w:val="1001"/>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lang w:eastAsia="zh-CN"/>
        </w:rPr>
        <w:t xml:space="preserve">2.</w:t>
      </w:r>
      <w:r>
        <w:rPr>
          <w:rFonts w:hint="eastAsia" w:ascii="宋体" w:hAnsi="宋体" w:cs="宋体"/>
          <w:bCs/>
          <w:color w:val="auto"/>
          <w:sz w:val="24"/>
          <w:szCs w:val="24"/>
        </w:rPr>
        <w:t xml:space="preserve">本单位参加</w:t>
      </w:r>
      <w:r>
        <w:rPr>
          <w:rFonts w:hint="eastAsia" w:ascii="宋体" w:hAnsi="宋体" w:cs="宋体"/>
          <w:bCs/>
          <w:color w:val="auto"/>
          <w:sz w:val="24"/>
          <w:szCs w:val="24"/>
          <w:u w:val="single"/>
        </w:rPr>
        <w:t xml:space="preserve">（采购单位名称）</w:t>
      </w:r>
      <w:r>
        <w:rPr>
          <w:rFonts w:hint="eastAsia" w:ascii="宋体" w:hAnsi="宋体" w:cs="宋体"/>
          <w:bCs/>
          <w:color w:val="auto"/>
          <w:sz w:val="24"/>
          <w:szCs w:val="24"/>
        </w:rPr>
        <w:t xml:space="preserve"> 的</w:t>
      </w:r>
      <w:r>
        <w:rPr>
          <w:rFonts w:hint="eastAsia" w:ascii="宋体" w:hAnsi="宋体" w:cs="宋体"/>
          <w:bCs/>
          <w:color w:val="auto"/>
          <w:sz w:val="24"/>
          <w:szCs w:val="24"/>
          <w:u w:val="single"/>
        </w:rPr>
        <w:t xml:space="preserve">（采购项目名称）</w:t>
      </w:r>
      <w:r>
        <w:rPr>
          <w:rFonts w:hint="eastAsia" w:ascii="宋体" w:hAnsi="宋体" w:cs="宋体"/>
          <w:bCs/>
          <w:color w:val="auto"/>
          <w:sz w:val="24"/>
          <w:szCs w:val="24"/>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color w:val="auto"/>
          <w:sz w:val="24"/>
          <w:szCs w:val="24"/>
          <w:lang w:eastAsia="zh-CN"/>
        </w:rPr>
        <w:t xml:space="preserve">）</w:t>
      </w:r>
      <w:r>
        <w:rPr>
          <w:rFonts w:hint="eastAsia" w:ascii="宋体" w:hAnsi="宋体" w:cs="宋体"/>
          <w:bCs/>
          <w:color w:val="auto"/>
          <w:sz w:val="24"/>
          <w:szCs w:val="24"/>
        </w:rPr>
        <w:t xml:space="preserve">。</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rPr>
        <w:t xml:space="preserve">注：</w:t>
      </w:r>
      <w:r>
        <w:rPr>
          <w:rFonts w:hint="eastAsia" w:ascii="宋体" w:hAnsi="宋体" w:cs="宋体"/>
          <w:bCs/>
          <w:color w:val="auto"/>
          <w:sz w:val="24"/>
          <w:szCs w:val="24"/>
        </w:rPr>
        <w:t xml:space="preserve">本公司对上述声明的真实性负责。如有虚假，将依法承担相应责任。</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jc w:val="both"/>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注：非残疾人福利性单位不需提供此函。</w:t>
      </w:r>
      <w:r/>
    </w:p>
    <w:p>
      <w:pPr>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br w:type="page" w:clear="all"/>
      </w:r>
      <w:r/>
    </w:p>
    <w:p>
      <w:pPr>
        <w:jc w:val="both"/>
        <w:keepNext w:val="0"/>
        <w:pageBreakBefore w:val="0"/>
        <w:spacing w:line="360" w:lineRule="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rPr>
        <w:t xml:space="preserve">示范格式</w:t>
      </w:r>
      <w:r>
        <w:rPr>
          <w:rFonts w:hint="eastAsia" w:ascii="宋体" w:hAnsi="宋体" w:eastAsia="宋体" w:cs="宋体"/>
          <w:b w:val="0"/>
          <w:bCs w:val="0"/>
          <w:color w:val="auto"/>
          <w:sz w:val="28"/>
          <w:szCs w:val="28"/>
          <w:lang w:eastAsia="zh-CN"/>
        </w:rPr>
        <w:t xml:space="preserve">六</w:t>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履约保证金退还申请</w:t>
      </w:r>
      <w:r/>
    </w:p>
    <w:p>
      <w:pPr>
        <w:pStyle w:val="1001"/>
        <w:ind w:firstLine="529"/>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01"/>
        <w:ind w:firstLine="529"/>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4"/>
          <w:szCs w:val="24"/>
        </w:rPr>
        <w:t xml:space="preserve">我单位中标了贵</w:t>
      </w:r>
      <w:r>
        <w:rPr>
          <w:rFonts w:hint="eastAsia" w:ascii="宋体" w:hAnsi="宋体" w:eastAsia="宋体" w:cs="宋体"/>
          <w:color w:val="auto"/>
          <w:sz w:val="24"/>
          <w:szCs w:val="24"/>
          <w:lang w:eastAsia="zh-CN"/>
        </w:rPr>
        <w:t xml:space="preserve">单位</w:t>
      </w:r>
      <w:r>
        <w:rPr>
          <w:rFonts w:hint="eastAsia" w:ascii="宋体" w:hAnsi="宋体" w:eastAsia="宋体" w:cs="宋体"/>
          <w:color w:val="auto"/>
          <w:sz w:val="24"/>
          <w:szCs w:val="24"/>
        </w:rPr>
        <w:t xml:space="preserve">组织实施的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rPr>
        <w:t xml:space="preserve">。目前，我单位已按招标文件规定履行完相关义务，符合保证金退还的条件，现向你</w:t>
      </w:r>
      <w:r>
        <w:rPr>
          <w:rFonts w:hint="eastAsia" w:ascii="宋体" w:hAnsi="宋体" w:eastAsia="宋体" w:cs="宋体"/>
          <w:color w:val="auto"/>
          <w:sz w:val="24"/>
          <w:szCs w:val="24"/>
          <w:lang w:eastAsia="zh-CN"/>
        </w:rPr>
        <w:t xml:space="preserve">单位</w:t>
      </w:r>
      <w:r>
        <w:rPr>
          <w:rFonts w:hint="eastAsia" w:ascii="宋体" w:hAnsi="宋体" w:eastAsia="宋体" w:cs="宋体"/>
          <w:color w:val="auto"/>
          <w:sz w:val="24"/>
          <w:szCs w:val="24"/>
        </w:rPr>
        <w:t xml:space="preserve">申请退还我单位</w:t>
      </w:r>
      <w:r>
        <w:rPr>
          <w:rFonts w:hint="eastAsia" w:ascii="宋体" w:hAnsi="宋体" w:eastAsia="宋体" w:cs="宋体"/>
          <w:color w:val="auto"/>
          <w:sz w:val="24"/>
          <w:szCs w:val="24"/>
          <w:lang w:val="en-US" w:eastAsia="zh-CN"/>
        </w:rPr>
        <w:t xml:space="preserve">缴纳</w:t>
      </w:r>
      <w:r>
        <w:rPr>
          <w:rFonts w:hint="eastAsia" w:ascii="宋体" w:hAnsi="宋体" w:eastAsia="宋体" w:cs="宋体"/>
          <w:color w:val="auto"/>
          <w:sz w:val="24"/>
          <w:szCs w:val="24"/>
        </w:rPr>
        <w:t xml:space="preserve">的本项目履约保证金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元。</w:t>
      </w:r>
      <w:r/>
    </w:p>
    <w:p>
      <w:pPr>
        <w:pStyle w:val="1001"/>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01"/>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01"/>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01"/>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招标人</w:t>
      </w:r>
      <w:r>
        <w:rPr>
          <w:rFonts w:hint="eastAsia" w:ascii="宋体" w:hAnsi="宋体" w:eastAsia="宋体" w:cs="宋体"/>
          <w:color w:val="auto"/>
          <w:sz w:val="24"/>
          <w:szCs w:val="24"/>
        </w:rPr>
        <w:t xml:space="preserve">确认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单位公</w:t>
      </w:r>
      <w:r>
        <w:rPr>
          <w:rFonts w:hint="eastAsia" w:ascii="宋体" w:hAnsi="宋体" w:eastAsia="宋体" w:cs="宋体"/>
          <w:color w:val="auto"/>
          <w:sz w:val="24"/>
          <w:szCs w:val="24"/>
        </w:rPr>
        <w:t xml:space="preserve">章）           申请单位</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单位公</w:t>
      </w:r>
      <w:r>
        <w:rPr>
          <w:rFonts w:hint="eastAsia" w:ascii="宋体" w:hAnsi="宋体" w:eastAsia="宋体" w:cs="宋体"/>
          <w:color w:val="auto"/>
          <w:sz w:val="24"/>
          <w:szCs w:val="24"/>
        </w:rPr>
        <w:t xml:space="preserve">章）</w:t>
      </w:r>
      <w:r/>
    </w:p>
    <w:p>
      <w:pPr>
        <w:pStyle w:val="1001"/>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联系人</w:t>
      </w:r>
      <w:r>
        <w:rPr>
          <w:rFonts w:hint="eastAsia" w:ascii="宋体" w:hAnsi="宋体" w:eastAsia="宋体" w:cs="宋体"/>
          <w:color w:val="auto"/>
          <w:sz w:val="24"/>
          <w:szCs w:val="24"/>
          <w:lang w:eastAsia="zh-CN"/>
        </w:rPr>
        <w:t xml:space="preserve">：</w:t>
      </w:r>
      <w:r/>
    </w:p>
    <w:p>
      <w:pPr>
        <w:pStyle w:val="1001"/>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联系方式（手机）</w:t>
      </w:r>
      <w:r>
        <w:rPr>
          <w:rFonts w:hint="eastAsia" w:ascii="宋体" w:hAnsi="宋体" w:eastAsia="宋体" w:cs="宋体"/>
          <w:color w:val="auto"/>
          <w:sz w:val="24"/>
          <w:szCs w:val="24"/>
          <w:lang w:eastAsia="zh-CN"/>
        </w:rPr>
        <w:t xml:space="preserve">：</w:t>
      </w:r>
      <w:r/>
    </w:p>
    <w:p>
      <w:pPr>
        <w:pStyle w:val="1001"/>
        <w:ind w:left="0" w:firstLine="480"/>
        <w:keepLines w:val="0"/>
        <w:keepNext w:val="0"/>
        <w:pageBreakBefore w:val="0"/>
        <w:spacing w:line="360" w:lineRule="auto"/>
        <w:widowControl w:val="off"/>
        <w:rPr>
          <w:rFonts w:hint="eastAsia" w:ascii="仿宋" w:hAnsi="仿宋" w:eastAsia="仿宋"/>
          <w:color w:val="auto"/>
          <w:sz w:val="28"/>
          <w:szCs w:val="28"/>
          <w:lang w:eastAsia="zh-CN"/>
        </w:rPr>
      </w:pPr>
      <w:r>
        <w:rPr>
          <w:rFonts w:hint="eastAsia" w:ascii="宋体" w:hAnsi="宋体" w:eastAsia="宋体" w:cs="宋体"/>
          <w:color w:val="auto"/>
          <w:sz w:val="24"/>
          <w:szCs w:val="24"/>
        </w:rPr>
        <w:t xml:space="preserve">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开户行及账号</w:t>
      </w:r>
      <w:r>
        <w:rPr>
          <w:rFonts w:hint="eastAsia" w:ascii="宋体" w:hAnsi="宋体" w:eastAsia="宋体" w:cs="宋体"/>
          <w:color w:val="auto"/>
          <w:sz w:val="24"/>
          <w:szCs w:val="24"/>
          <w:lang w:eastAsia="zh-CN"/>
        </w:rPr>
        <w:t xml:space="preserve">：</w:t>
      </w:r>
      <w:r/>
    </w:p>
    <w:p>
      <w:pPr>
        <w:rPr>
          <w:rFonts w:hint="eastAsia" w:ascii="宋体" w:hAnsi="宋体" w:eastAsia="宋体" w:cs="宋体"/>
          <w:b/>
          <w:color w:val="auto"/>
          <w:sz w:val="24"/>
          <w:lang w:eastAsia="zh-CN"/>
        </w:rPr>
      </w:pPr>
      <w:r>
        <w:rPr>
          <w:rFonts w:hint="eastAsia" w:ascii="宋体" w:hAnsi="宋体" w:eastAsia="宋体" w:cs="宋体"/>
          <w:b/>
          <w:color w:val="auto"/>
          <w:sz w:val="24"/>
          <w:lang w:eastAsia="zh-CN"/>
        </w:rPr>
        <w:br w:type="page" w:clear="all"/>
      </w:r>
      <w:r/>
    </w:p>
    <w:p>
      <w:pPr>
        <w:pStyle w:val="843"/>
        <w:ind w:firstLine="0"/>
        <w:spacing w:before="143" w:after="143"/>
        <w:rPr>
          <w:rFonts w:hint="eastAsia" w:ascii="宋体" w:hAnsi="宋体" w:eastAsia="宋体" w:cs="宋体"/>
          <w:b w:val="0"/>
          <w:bCs w:val="0"/>
          <w:color w:val="auto"/>
          <w:sz w:val="28"/>
          <w:szCs w:val="28"/>
          <w:lang w:eastAsia="zh-CN"/>
        </w:rPr>
      </w:pPr>
      <w:r>
        <w:rPr>
          <w:rFonts w:hint="eastAsia" w:ascii="宋体" w:hAnsi="宋体" w:cs="宋体"/>
          <w:b w:val="0"/>
          <w:bCs w:val="0"/>
          <w:color w:val="auto"/>
          <w:sz w:val="28"/>
          <w:szCs w:val="28"/>
        </w:rPr>
        <w:t xml:space="preserve">示范格式</w:t>
      </w:r>
      <w:r>
        <w:rPr>
          <w:rFonts w:hint="eastAsia" w:ascii="宋体" w:hAnsi="宋体" w:cs="宋体"/>
          <w:b w:val="0"/>
          <w:bCs w:val="0"/>
          <w:color w:val="auto"/>
          <w:sz w:val="28"/>
          <w:szCs w:val="28"/>
          <w:lang w:val="en-US" w:eastAsia="zh-CN"/>
        </w:rPr>
        <w:t xml:space="preserve">七</w:t>
      </w:r>
      <w:r/>
    </w:p>
    <w:p>
      <w:pPr>
        <w:jc w:val="center"/>
        <w:keepLines w:val="0"/>
        <w:keepNext w:val="0"/>
        <w:pageBreakBefore w:val="0"/>
        <w:spacing w:line="360" w:lineRule="auto"/>
        <w:widowControl w:val="off"/>
        <w:rPr>
          <w:rFonts w:hint="eastAsia" w:ascii="宋体" w:hAnsi="宋体" w:eastAsia="宋体" w:cs="宋体"/>
          <w:color w:val="auto"/>
          <w:sz w:val="36"/>
          <w:szCs w:val="36"/>
        </w:rPr>
      </w:pPr>
      <w:r>
        <w:rPr>
          <w:rFonts w:hint="eastAsia" w:ascii="宋体" w:hAnsi="宋体" w:eastAsia="宋体" w:cs="宋体"/>
          <w:b/>
          <w:bCs w:val="0"/>
          <w:color w:val="auto"/>
          <w:sz w:val="32"/>
          <w:szCs w:val="32"/>
        </w:rPr>
        <w:t xml:space="preserve">承诺书</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致</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招标人</w:t>
      </w:r>
      <w:r>
        <w:rPr>
          <w:rFonts w:hint="eastAsia" w:ascii="宋体" w:hAnsi="宋体" w:eastAsia="宋体" w:cs="宋体"/>
          <w:color w:val="auto"/>
          <w:sz w:val="24"/>
          <w:szCs w:val="24"/>
          <w:u w:val="single"/>
          <w:lang w:val="en-US" w:eastAsia="zh-CN" w:bidi="ar-SA"/>
        </w:rPr>
        <w:t xml:space="preserve">名称） </w:t>
      </w:r>
      <w:r>
        <w:rPr>
          <w:rFonts w:hint="eastAsia" w:ascii="宋体" w:hAnsi="宋体" w:eastAsia="宋体" w:cs="宋体"/>
          <w:color w:val="auto"/>
          <w:sz w:val="24"/>
          <w:szCs w:val="24"/>
          <w:lang w:val="en-US" w:eastAsia="zh-CN" w:bidi="ar-SA"/>
        </w:rPr>
        <w:t xml:space="preserve">：</w:t>
      </w:r>
      <w:r/>
    </w:p>
    <w:p>
      <w:pPr>
        <w:ind w:firstLine="72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我公司参加贵单位组织实施的（项目编号</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采购项目的政府采购活动。针对《中华人民共和国政府采购法》第二十二条规定做出如下声明：</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1、我单位具有独立承担民事责任的能力；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2、我单位具有良好的商业信誉和健全的财务会计制度；</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3、我单位具有履行合同所必需的设备和专业技术能力；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4、我单位有依法缴纳税收和社会保障资金的良好记录；</w:t>
      </w:r>
      <w:r/>
    </w:p>
    <w:p>
      <w:pPr>
        <w:ind w:firstLine="480"/>
        <w:jc w:val="left"/>
        <w:spacing w:line="6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5、参加本次政府采购活动前三年内，我公司在经营活动中没有因违法经营受到刑事处罚或者责令停产停业、吊销许可证或者执照、较大数额罚款等行政处罚。 </w:t>
      </w:r>
      <w:r/>
    </w:p>
    <w:p>
      <w:pPr>
        <w:ind w:firstLine="547"/>
        <w:spacing w:line="520" w:lineRule="exact"/>
        <w:rPr>
          <w:rFonts w:hint="eastAsia" w:ascii="仿宋" w:hAnsi="仿宋" w:eastAsia="仿宋"/>
          <w:color w:val="auto"/>
          <w:sz w:val="28"/>
          <w:szCs w:val="28"/>
        </w:rPr>
      </w:pPr>
      <w:r>
        <w:rPr>
          <w:rFonts w:hint="eastAsia" w:ascii="宋体" w:hAnsi="宋体" w:eastAsia="宋体" w:cs="宋体"/>
          <w:color w:val="auto"/>
          <w:sz w:val="24"/>
          <w:szCs w:val="24"/>
          <w:lang w:val="en-US" w:eastAsia="zh-CN" w:bidi="ar-SA"/>
        </w:rPr>
        <w:t xml:space="preserve">6、我单位满足法律、行政法规规定的其他条件。</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jc w:val="both"/>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pStyle w:val="843"/>
        <w:ind w:firstLine="0"/>
        <w:spacing w:before="143" w:after="143"/>
        <w:rPr>
          <w:rFonts w:hint="eastAsia" w:ascii="宋体" w:hAnsi="宋体" w:eastAsia="宋体" w:cs="宋体"/>
          <w:b w:val="0"/>
          <w:bCs w:val="0"/>
          <w:color w:val="auto"/>
          <w:sz w:val="28"/>
          <w:szCs w:val="28"/>
          <w:lang w:eastAsia="zh-CN"/>
        </w:rPr>
      </w:pPr>
      <w:r>
        <w:rPr>
          <w:rFonts w:hint="eastAsia" w:ascii="宋体" w:hAnsi="宋体" w:cs="宋体"/>
          <w:b w:val="0"/>
          <w:bCs w:val="0"/>
          <w:color w:val="auto"/>
          <w:sz w:val="28"/>
          <w:szCs w:val="28"/>
        </w:rPr>
        <w:t xml:space="preserve">示范格式</w:t>
      </w:r>
      <w:r>
        <w:rPr>
          <w:rFonts w:hint="eastAsia" w:ascii="宋体" w:hAnsi="宋体" w:cs="宋体"/>
          <w:b w:val="0"/>
          <w:bCs w:val="0"/>
          <w:color w:val="auto"/>
          <w:sz w:val="28"/>
          <w:szCs w:val="28"/>
          <w:lang w:val="en-US" w:eastAsia="zh-CN"/>
        </w:rPr>
        <w:t xml:space="preserve">八</w:t>
      </w:r>
      <w:r/>
    </w:p>
    <w:p>
      <w:pPr>
        <w:jc w:val="center"/>
        <w:keepLines w:val="0"/>
        <w:keepNext w:val="0"/>
        <w:pageBreakBefore w:val="0"/>
        <w:spacing w:line="360" w:lineRule="auto"/>
        <w:widowControl w:val="off"/>
        <w:rPr>
          <w:rFonts w:hint="eastAsia" w:ascii="宋体" w:hAnsi="宋体" w:eastAsia="宋体" w:cs="宋体"/>
          <w:b/>
          <w:bCs w:val="0"/>
          <w:color w:val="auto"/>
          <w:sz w:val="32"/>
          <w:szCs w:val="32"/>
        </w:rPr>
      </w:pPr>
      <w:r>
        <w:rPr>
          <w:rFonts w:hint="eastAsia" w:ascii="宋体" w:hAnsi="宋体" w:eastAsia="宋体" w:cs="宋体"/>
          <w:b/>
          <w:bCs w:val="0"/>
          <w:color w:val="auto"/>
          <w:sz w:val="32"/>
          <w:szCs w:val="32"/>
        </w:rPr>
        <w:t xml:space="preserve">技术</w:t>
      </w:r>
      <w:r>
        <w:rPr>
          <w:rFonts w:hint="eastAsia" w:ascii="宋体" w:hAnsi="宋体" w:eastAsia="宋体" w:cs="宋体"/>
          <w:b/>
          <w:bCs w:val="0"/>
          <w:color w:val="auto"/>
          <w:sz w:val="32"/>
          <w:szCs w:val="32"/>
          <w:lang w:eastAsia="zh-CN"/>
        </w:rPr>
        <w:t xml:space="preserve">规格</w:t>
      </w:r>
      <w:r>
        <w:rPr>
          <w:rFonts w:hint="eastAsia" w:ascii="宋体" w:hAnsi="宋体" w:eastAsia="宋体" w:cs="宋体"/>
          <w:b/>
          <w:bCs w:val="0"/>
          <w:color w:val="auto"/>
          <w:sz w:val="32"/>
          <w:szCs w:val="32"/>
        </w:rPr>
        <w:t xml:space="preserve">响应及偏离表</w:t>
      </w:r>
      <w:r/>
    </w:p>
    <w:tbl>
      <w:tblPr>
        <w:tblStyle w:val="1136"/>
        <w:tblW w:w="9537" w:type="dxa"/>
        <w:tblInd w:w="1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77"/>
        <w:gridCol w:w="3418"/>
        <w:gridCol w:w="2879"/>
        <w:gridCol w:w="1079"/>
        <w:gridCol w:w="1084"/>
      </w:tblGrid>
      <w:tr>
        <w:trPr>
          <w:trHeight w:val="713"/>
        </w:trPr>
        <w:tc>
          <w:tcPr>
            <w:tcW w:w="1077" w:type="dxa"/>
            <w:textDirection w:val="lrTb"/>
            <w:noWrap w:val="false"/>
          </w:tcPr>
          <w:p>
            <w:pPr>
              <w:pStyle w:val="1135"/>
              <w:ind w:left="304"/>
              <w:spacing w:before="159" w:line="222" w:lineRule="auto"/>
            </w:pPr>
            <w:r>
              <w:rPr>
                <w:spacing w:val="-5"/>
              </w:rPr>
              <w:t xml:space="preserve">序号</w:t>
            </w:r>
            <w:r/>
          </w:p>
        </w:tc>
        <w:tc>
          <w:tcPr>
            <w:tcW w:w="3418" w:type="dxa"/>
            <w:textDirection w:val="lrTb"/>
            <w:noWrap w:val="false"/>
          </w:tcPr>
          <w:p>
            <w:pPr>
              <w:pStyle w:val="1135"/>
              <w:ind w:left="1236" w:right="387" w:hanging="838"/>
              <w:spacing w:before="80" w:line="230" w:lineRule="auto"/>
            </w:pPr>
            <w:r>
              <w:rPr>
                <w:spacing w:val="-2"/>
              </w:rPr>
              <w:t xml:space="preserve">项目采购需求中主要技术</w:t>
            </w:r>
            <w:r>
              <w:rPr>
                <w:spacing w:val="7"/>
              </w:rPr>
              <w:t xml:space="preserve"> </w:t>
            </w:r>
            <w:r>
              <w:rPr>
                <w:spacing w:val="-3"/>
              </w:rPr>
              <w:t xml:space="preserve">条款描述</w:t>
            </w:r>
            <w:r/>
          </w:p>
        </w:tc>
        <w:tc>
          <w:tcPr>
            <w:tcW w:w="2879" w:type="dxa"/>
            <w:textDirection w:val="lrTb"/>
            <w:noWrap w:val="false"/>
          </w:tcPr>
          <w:p>
            <w:pPr>
              <w:pStyle w:val="1135"/>
              <w:ind w:left="608" w:right="115" w:hanging="480"/>
              <w:spacing w:before="80" w:line="230" w:lineRule="auto"/>
            </w:pPr>
            <w:r>
              <w:rPr>
                <w:spacing w:val="-1"/>
              </w:rPr>
              <w:t xml:space="preserve">所报产品规格、型号及相</w:t>
            </w:r>
            <w:r>
              <w:t xml:space="preserve"> </w:t>
            </w:r>
            <w:r>
              <w:rPr>
                <w:spacing w:val="-2"/>
              </w:rPr>
              <w:t xml:space="preserve">应技术参数描述</w:t>
            </w:r>
            <w:r/>
          </w:p>
        </w:tc>
        <w:tc>
          <w:tcPr>
            <w:tcW w:w="1079" w:type="dxa"/>
            <w:textDirection w:val="lrTb"/>
            <w:noWrap w:val="false"/>
          </w:tcPr>
          <w:p>
            <w:pPr>
              <w:pStyle w:val="1135"/>
              <w:ind w:left="253"/>
              <w:spacing w:before="80"/>
            </w:pPr>
            <w:r>
              <w:rPr>
                <w:spacing w:val="-5"/>
              </w:rPr>
              <w:t xml:space="preserve">偏离</w:t>
            </w:r>
            <w:r/>
          </w:p>
          <w:p>
            <w:pPr>
              <w:pStyle w:val="1135"/>
              <w:ind w:left="252"/>
              <w:spacing w:before="1" w:line="220" w:lineRule="auto"/>
            </w:pPr>
            <w:r>
              <w:rPr>
                <w:spacing w:val="-4"/>
              </w:rPr>
              <w:t xml:space="preserve">情况</w:t>
            </w:r>
            <w:r/>
          </w:p>
        </w:tc>
        <w:tc>
          <w:tcPr>
            <w:tcW w:w="1084" w:type="dxa"/>
            <w:textDirection w:val="lrTb"/>
            <w:noWrap w:val="false"/>
          </w:tcPr>
          <w:p>
            <w:pPr>
              <w:pStyle w:val="1135"/>
              <w:ind w:left="313"/>
              <w:spacing w:before="159" w:line="222" w:lineRule="auto"/>
            </w:pPr>
            <w:r>
              <w:rPr>
                <w:spacing w:val="-7"/>
              </w:rPr>
              <w:t xml:space="preserve">备注</w:t>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13"/>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bl>
    <w:p>
      <w:pPr>
        <w:pStyle w:val="817"/>
        <w:ind w:left="318"/>
        <w:spacing w:before="175" w:line="220"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供应商:   （加盖公章）     </w:t>
      </w:r>
      <w:r/>
    </w:p>
    <w:p>
      <w:pPr>
        <w:pStyle w:val="817"/>
        <w:ind w:left="318"/>
        <w:spacing w:before="120" w:line="221"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注:（1）此表为表样，行数可自行添加，但表式不变。</w:t>
      </w:r>
      <w:r/>
    </w:p>
    <w:p>
      <w:pPr>
        <w:pStyle w:val="817"/>
        <w:ind w:left="183" w:right="619" w:firstLine="562"/>
        <w:spacing w:before="105" w:line="256"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（2）是否偏离用符号“+、=、- ”分别表示正偏离、完全响应、负偏离。</w:t>
      </w:r>
      <w:r/>
    </w:p>
    <w:p>
      <w:pPr>
        <w:pStyle w:val="817"/>
        <w:ind w:left="180" w:right="196" w:firstLine="566"/>
        <w:spacing w:before="101" w:line="268"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（3）投标人必须仔细阅读本招标文件第五章中所有技术规范条款和相关功能要求，并将响应情况及偏离情况逐项填入上表。</w:t>
      </w:r>
      <w:r/>
    </w:p>
    <w:p>
      <w:pPr>
        <w:spacing w:line="440" w:lineRule="exact"/>
        <w:rPr>
          <w:rFonts w:hint="eastAsia"/>
          <w:lang w:eastAsia="zh-CN"/>
        </w:rPr>
      </w:pPr>
      <w:r>
        <w:rPr>
          <w:rFonts w:hint="eastAsia"/>
          <w:lang w:eastAsia="zh-CN"/>
        </w:rPr>
      </w:r>
      <w:r/>
    </w:p>
    <w:sectPr>
      <w:footerReference w:type="default" r:id="rId12"/>
      <w:footerReference w:type="even" r:id="rId13"/>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方正仿宋简体">
    <w:panose1 w:val="020B0503020202020204"/>
  </w:font>
  <w:font w:name="Helv">
    <w:panose1 w:val="020B0503020202020204"/>
  </w:font>
  <w:font w:name="仿宋_GB2312">
    <w:panose1 w:val="02010609060101010101"/>
  </w:font>
  <w:font w:name="Verdana">
    <w:panose1 w:val="020B0604030504040204"/>
  </w:font>
  <w:font w:name="黑体">
    <w:panose1 w:val="02010609060101010101"/>
  </w:font>
  <w:font w:name="楷体">
    <w:panose1 w:val="02010609060101010101"/>
  </w:font>
  <w:font w:name="Cambria">
    <w:panose1 w:val="02040503050406030204"/>
  </w:font>
  <w:font w:name="Adobe 仿宋 Std R">
    <w:panose1 w:val="020B050302020202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ind w:left="4792"/>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ind w:left="4792"/>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ind w:left="4793"/>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1028"/>
      </w:rPr>
      <w:framePr w:wrap="around" w:vAnchor="text" w:hAnchor="margin" w:xAlign="center" w:y="1"/>
    </w:pPr>
    <w:r>
      <w:fldChar w:fldCharType="begin"/>
    </w:r>
    <w:r>
      <w:rPr>
        <w:rStyle w:val="1028"/>
      </w:rPr>
      <w:instrText xml:space="preserve">PAGE  </w:instrText>
    </w:r>
    <w:r>
      <w:fldChar w:fldCharType="separate"/>
    </w:r>
    <w:r>
      <w:rPr>
        <w:rStyle w:val="1028"/>
      </w:rPr>
      <w:t xml:space="preserve">22</w:t>
    </w:r>
    <w:r>
      <w:fldChar w:fldCharType="end"/>
    </w:r>
    <w:r/>
  </w:p>
  <w:p>
    <w:pPr>
      <w:pStyle w:val="1015"/>
      <w:tabs>
        <w:tab w:val="left" w:pos="7595" w:leader="none"/>
      </w:tabs>
      <w:rPr>
        <w:rFonts w:hint="eastAsia" w:eastAsia="宋体"/>
        <w:lang w:eastAsia="zh-CN"/>
      </w:rPr>
    </w:pPr>
    <w:r>
      <w:rPr>
        <w:rFonts w:hint="eastAsia"/>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1028"/>
      </w:rPr>
      <w:framePr w:wrap="around" w:vAnchor="text" w:hAnchor="margin" w:xAlign="center" w:y="1"/>
    </w:pPr>
    <w:r>
      <w:fldChar w:fldCharType="begin"/>
    </w:r>
    <w:r>
      <w:rPr>
        <w:rStyle w:val="1028"/>
      </w:rPr>
      <w:instrText xml:space="preserve">PAGE  </w:instrText>
    </w:r>
    <w:r>
      <w:fldChar w:fldCharType="end"/>
    </w:r>
    <w:r/>
  </w:p>
  <w:p>
    <w:pPr>
      <w:pStyle w:val="10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07"/>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5">
    <w:multiLevelType w:val="hybridMultilevel"/>
    <w:lvl w:ilvl="0">
      <w:start w:val="1"/>
      <w:numFmt w:val="decimal"/>
      <w:pStyle w:val="994"/>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995"/>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996"/>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3"/>
  </w:num>
  <w:num w:numId="3">
    <w:abstractNumId w:val="4"/>
  </w:num>
  <w:num w:numId="4">
    <w:abstractNumId w:val="3"/>
  </w:num>
  <w:num w:numId="5">
    <w:abstractNumId w:val="0"/>
  </w:num>
  <w:num w:numId="6">
    <w:abstractNumId w:val="1"/>
  </w:num>
  <w:num w:numId="7">
    <w:abstractNumId w:val="12"/>
  </w:num>
  <w:num w:numId="8">
    <w:abstractNumId w:val="14"/>
  </w:num>
  <w:num w:numId="9">
    <w:abstractNumId w:val="8"/>
  </w:num>
  <w:num w:numId="10">
    <w:abstractNumId w:val="6"/>
  </w:num>
  <w:num w:numId="11">
    <w:abstractNumId w:val="9"/>
  </w:num>
  <w:num w:numId="12">
    <w:abstractNumId w:val="7"/>
  </w:num>
  <w:num w:numId="13">
    <w:abstractNumId w:val="11"/>
  </w:num>
  <w:num w:numId="14">
    <w:abstractNumId w:val="10"/>
  </w:num>
  <w:num w:numId="15">
    <w:abstractNumId w:val="1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default="1">
    <w:name w:val="Normal"/>
    <w:next w:val="806"/>
    <w:link w:val="10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3">
    <w:name w:val="Heading 1"/>
    <w:basedOn w:val="802"/>
    <w:next w:val="802"/>
    <w:link w:val="846"/>
    <w:uiPriority w:val="9"/>
    <w:qFormat/>
    <w:pPr>
      <w:keepLines/>
      <w:keepNext/>
      <w:spacing w:before="480" w:after="200"/>
      <w:outlineLvl w:val="0"/>
    </w:pPr>
    <w:rPr>
      <w:rFonts w:ascii="Arial" w:hAnsi="Arial" w:eastAsia="Arial" w:cs="Arial"/>
      <w:sz w:val="40"/>
      <w:szCs w:val="40"/>
    </w:rPr>
  </w:style>
  <w:style w:type="paragraph" w:styleId="804">
    <w:name w:val="Heading 2"/>
    <w:basedOn w:val="802"/>
    <w:next w:val="802"/>
    <w:link w:val="847"/>
    <w:uiPriority w:val="9"/>
    <w:unhideWhenUsed/>
    <w:qFormat/>
    <w:pPr>
      <w:keepLines/>
      <w:keepNext/>
      <w:spacing w:before="360" w:after="200"/>
      <w:outlineLvl w:val="1"/>
    </w:pPr>
    <w:rPr>
      <w:rFonts w:ascii="Arial" w:hAnsi="Arial" w:eastAsia="Arial" w:cs="Arial"/>
      <w:sz w:val="34"/>
    </w:rPr>
  </w:style>
  <w:style w:type="paragraph" w:styleId="805">
    <w:name w:val="Heading 3"/>
    <w:basedOn w:val="802"/>
    <w:next w:val="802"/>
    <w:link w:val="848"/>
    <w:uiPriority w:val="9"/>
    <w:unhideWhenUsed/>
    <w:qFormat/>
    <w:pPr>
      <w:keepLines/>
      <w:keepNext/>
      <w:spacing w:before="320" w:after="200"/>
      <w:outlineLvl w:val="2"/>
    </w:pPr>
    <w:rPr>
      <w:rFonts w:ascii="Arial" w:hAnsi="Arial" w:eastAsia="Arial" w:cs="Arial"/>
      <w:sz w:val="30"/>
      <w:szCs w:val="30"/>
    </w:rPr>
  </w:style>
  <w:style w:type="paragraph" w:styleId="806">
    <w:name w:val="Heading 4"/>
    <w:basedOn w:val="802"/>
    <w:next w:val="814"/>
    <w:link w:val="849"/>
    <w:uiPriority w:val="9"/>
    <w:unhideWhenUsed/>
    <w:qFormat/>
    <w:pPr>
      <w:keepLines/>
      <w:keepNext/>
      <w:spacing w:before="320" w:after="200"/>
      <w:outlineLvl w:val="3"/>
    </w:pPr>
    <w:rPr>
      <w:rFonts w:ascii="Arial" w:hAnsi="Arial" w:eastAsia="Arial" w:cs="Arial"/>
      <w:b/>
      <w:bCs/>
      <w:sz w:val="26"/>
      <w:szCs w:val="26"/>
    </w:rPr>
  </w:style>
  <w:style w:type="paragraph" w:styleId="807">
    <w:name w:val="Heading 5"/>
    <w:basedOn w:val="802"/>
    <w:next w:val="802"/>
    <w:link w:val="850"/>
    <w:uiPriority w:val="9"/>
    <w:unhideWhenUsed/>
    <w:qFormat/>
    <w:pPr>
      <w:keepLines/>
      <w:keepNext/>
      <w:spacing w:before="320" w:after="200"/>
      <w:outlineLvl w:val="4"/>
    </w:pPr>
    <w:rPr>
      <w:rFonts w:ascii="Arial" w:hAnsi="Arial" w:eastAsia="Arial" w:cs="Arial"/>
      <w:b/>
      <w:bCs/>
      <w:sz w:val="24"/>
      <w:szCs w:val="24"/>
    </w:rPr>
  </w:style>
  <w:style w:type="paragraph" w:styleId="808">
    <w:name w:val="Heading 6"/>
    <w:basedOn w:val="802"/>
    <w:next w:val="802"/>
    <w:link w:val="851"/>
    <w:uiPriority w:val="9"/>
    <w:unhideWhenUsed/>
    <w:qFormat/>
    <w:pPr>
      <w:keepLines/>
      <w:keepNext/>
      <w:spacing w:before="320" w:after="200"/>
      <w:outlineLvl w:val="5"/>
    </w:pPr>
    <w:rPr>
      <w:rFonts w:ascii="Arial" w:hAnsi="Arial" w:eastAsia="Arial" w:cs="Arial"/>
      <w:b/>
      <w:bCs/>
      <w:sz w:val="22"/>
      <w:szCs w:val="22"/>
    </w:rPr>
  </w:style>
  <w:style w:type="paragraph" w:styleId="809">
    <w:name w:val="Heading 7"/>
    <w:basedOn w:val="802"/>
    <w:next w:val="802"/>
    <w:link w:val="852"/>
    <w:uiPriority w:val="9"/>
    <w:unhideWhenUsed/>
    <w:qFormat/>
    <w:pPr>
      <w:keepLines/>
      <w:keepNext/>
      <w:spacing w:before="320" w:after="200"/>
      <w:outlineLvl w:val="6"/>
    </w:pPr>
    <w:rPr>
      <w:rFonts w:ascii="Arial" w:hAnsi="Arial" w:eastAsia="Arial" w:cs="Arial"/>
      <w:b/>
      <w:bCs/>
      <w:i/>
      <w:iCs/>
      <w:sz w:val="22"/>
      <w:szCs w:val="22"/>
    </w:rPr>
  </w:style>
  <w:style w:type="paragraph" w:styleId="810">
    <w:name w:val="Heading 8"/>
    <w:basedOn w:val="802"/>
    <w:next w:val="802"/>
    <w:link w:val="853"/>
    <w:uiPriority w:val="9"/>
    <w:unhideWhenUsed/>
    <w:qFormat/>
    <w:pPr>
      <w:keepLines/>
      <w:keepNext/>
      <w:spacing w:before="320" w:after="200"/>
      <w:outlineLvl w:val="7"/>
    </w:pPr>
    <w:rPr>
      <w:rFonts w:ascii="Arial" w:hAnsi="Arial" w:eastAsia="Arial" w:cs="Arial"/>
      <w:i/>
      <w:iCs/>
      <w:sz w:val="22"/>
      <w:szCs w:val="22"/>
    </w:rPr>
  </w:style>
  <w:style w:type="paragraph" w:styleId="811">
    <w:name w:val="Heading 9"/>
    <w:basedOn w:val="802"/>
    <w:next w:val="802"/>
    <w:link w:val="854"/>
    <w:uiPriority w:val="9"/>
    <w:unhideWhenUsed/>
    <w:qFormat/>
    <w:pPr>
      <w:keepLines/>
      <w:keepNext/>
      <w:spacing w:before="320" w:after="200"/>
      <w:outlineLvl w:val="8"/>
    </w:pPr>
    <w:rPr>
      <w:rFonts w:ascii="Arial" w:hAnsi="Arial" w:eastAsia="Arial" w:cs="Arial"/>
      <w:i/>
      <w:iCs/>
      <w:sz w:val="21"/>
      <w:szCs w:val="21"/>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name w:val="Normal Indent"/>
    <w:basedOn w:val="802"/>
    <w:uiPriority w:val="0"/>
    <w:qFormat/>
    <w:pPr>
      <w:ind w:firstLine="420"/>
    </w:pPr>
    <w:rPr>
      <w:szCs w:val="20"/>
    </w:rPr>
  </w:style>
  <w:style w:type="paragraph" w:styleId="815">
    <w:name w:val="toc 7"/>
    <w:basedOn w:val="802"/>
    <w:next w:val="802"/>
    <w:uiPriority w:val="39"/>
    <w:unhideWhenUsed/>
    <w:qFormat/>
    <w:pPr>
      <w:ind w:left="1701" w:right="0" w:firstLine="0"/>
      <w:spacing w:after="57"/>
    </w:pPr>
  </w:style>
  <w:style w:type="paragraph" w:styleId="816">
    <w:name w:val="Caption"/>
    <w:basedOn w:val="802"/>
    <w:next w:val="8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7">
    <w:name w:val="Body Text"/>
    <w:basedOn w:val="802"/>
    <w:uiPriority w:val="1"/>
    <w:qFormat/>
    <w:rPr>
      <w:rFonts w:ascii="楷体_GB2312" w:hAnsi="Arial" w:eastAsia="楷体_GB2312"/>
      <w:sz w:val="28"/>
      <w:szCs w:val="20"/>
    </w:rPr>
  </w:style>
  <w:style w:type="paragraph" w:styleId="818">
    <w:name w:val="Body Text Indent"/>
    <w:basedOn w:val="802"/>
    <w:next w:val="819"/>
    <w:uiPriority w:val="0"/>
    <w:qFormat/>
    <w:pPr>
      <w:ind w:firstLine="645"/>
    </w:pPr>
    <w:rPr>
      <w:rFonts w:ascii="楷体_GB2312" w:eastAsia="楷体_GB2312"/>
      <w:sz w:val="32"/>
      <w:szCs w:val="20"/>
    </w:rPr>
  </w:style>
  <w:style w:type="paragraph" w:styleId="819">
    <w:name w:val="envelope return"/>
    <w:basedOn w:val="802"/>
    <w:uiPriority w:val="0"/>
    <w:qFormat/>
    <w:rPr>
      <w:rFonts w:ascii="Arial" w:hAnsi="Arial" w:eastAsia="宋体" w:cs="Times New Roman"/>
    </w:rPr>
  </w:style>
  <w:style w:type="paragraph" w:styleId="820">
    <w:name w:val="toc 5"/>
    <w:basedOn w:val="802"/>
    <w:next w:val="802"/>
    <w:uiPriority w:val="39"/>
    <w:unhideWhenUsed/>
    <w:qFormat/>
    <w:pPr>
      <w:ind w:left="1134" w:right="0" w:firstLine="0"/>
      <w:spacing w:after="57"/>
    </w:pPr>
  </w:style>
  <w:style w:type="paragraph" w:styleId="821">
    <w:name w:val="toc 3"/>
    <w:basedOn w:val="802"/>
    <w:next w:val="802"/>
    <w:uiPriority w:val="39"/>
    <w:unhideWhenUsed/>
    <w:qFormat/>
    <w:pPr>
      <w:ind w:left="567" w:right="0" w:firstLine="0"/>
      <w:spacing w:after="57"/>
    </w:pPr>
  </w:style>
  <w:style w:type="paragraph" w:styleId="822">
    <w:name w:val="Plain Text"/>
    <w:basedOn w:val="802"/>
    <w:uiPriority w:val="0"/>
    <w:qFormat/>
    <w:rPr>
      <w:rFonts w:ascii="宋体" w:hAnsi="Courier New"/>
      <w:szCs w:val="20"/>
    </w:rPr>
  </w:style>
  <w:style w:type="paragraph" w:styleId="823">
    <w:name w:val="toc 8"/>
    <w:basedOn w:val="802"/>
    <w:next w:val="802"/>
    <w:uiPriority w:val="39"/>
    <w:unhideWhenUsed/>
    <w:qFormat/>
    <w:pPr>
      <w:ind w:left="1984" w:right="0" w:firstLine="0"/>
      <w:spacing w:after="57"/>
    </w:pPr>
  </w:style>
  <w:style w:type="paragraph" w:styleId="824">
    <w:name w:val="endnote text"/>
    <w:basedOn w:val="802"/>
    <w:link w:val="992"/>
    <w:uiPriority w:val="99"/>
    <w:semiHidden/>
    <w:unhideWhenUsed/>
    <w:qFormat/>
    <w:pPr>
      <w:spacing w:after="0" w:line="240" w:lineRule="auto"/>
    </w:pPr>
    <w:rPr>
      <w:sz w:val="20"/>
    </w:rPr>
  </w:style>
  <w:style w:type="paragraph" w:styleId="825">
    <w:name w:val="Footer"/>
    <w:basedOn w:val="802"/>
    <w:link w:val="865"/>
    <w:uiPriority w:val="99"/>
    <w:unhideWhenUsed/>
    <w:qFormat/>
    <w:pPr>
      <w:spacing w:after="0" w:line="240" w:lineRule="auto"/>
      <w:tabs>
        <w:tab w:val="center" w:pos="7143" w:leader="none"/>
        <w:tab w:val="right" w:pos="14287" w:leader="none"/>
      </w:tabs>
    </w:pPr>
  </w:style>
  <w:style w:type="paragraph" w:styleId="826">
    <w:name w:val="Header"/>
    <w:basedOn w:val="802"/>
    <w:link w:val="863"/>
    <w:uiPriority w:val="99"/>
    <w:unhideWhenUsed/>
    <w:qFormat/>
    <w:pPr>
      <w:spacing w:after="0" w:line="240" w:lineRule="auto"/>
      <w:tabs>
        <w:tab w:val="center" w:pos="7143" w:leader="none"/>
        <w:tab w:val="right" w:pos="14287" w:leader="none"/>
      </w:tabs>
    </w:pPr>
  </w:style>
  <w:style w:type="paragraph" w:styleId="827">
    <w:name w:val="toc 1"/>
    <w:basedOn w:val="802"/>
    <w:next w:val="802"/>
    <w:uiPriority w:val="39"/>
    <w:unhideWhenUsed/>
    <w:qFormat/>
    <w:pPr>
      <w:ind w:left="0" w:right="0" w:firstLine="0"/>
      <w:spacing w:after="57"/>
    </w:pPr>
  </w:style>
  <w:style w:type="paragraph" w:styleId="828">
    <w:name w:val="toc 4"/>
    <w:basedOn w:val="802"/>
    <w:next w:val="802"/>
    <w:uiPriority w:val="39"/>
    <w:unhideWhenUsed/>
    <w:qFormat/>
    <w:pPr>
      <w:ind w:left="850" w:right="0" w:firstLine="0"/>
      <w:spacing w:after="57"/>
    </w:pPr>
  </w:style>
  <w:style w:type="paragraph" w:styleId="829">
    <w:name w:val="Subtitle"/>
    <w:basedOn w:val="802"/>
    <w:next w:val="802"/>
    <w:link w:val="858"/>
    <w:uiPriority w:val="11"/>
    <w:qFormat/>
    <w:pPr>
      <w:spacing w:before="200" w:after="200"/>
    </w:pPr>
    <w:rPr>
      <w:sz w:val="24"/>
      <w:szCs w:val="24"/>
    </w:rPr>
  </w:style>
  <w:style w:type="paragraph" w:styleId="830">
    <w:name w:val="footnote text"/>
    <w:basedOn w:val="802"/>
    <w:link w:val="991"/>
    <w:uiPriority w:val="99"/>
    <w:semiHidden/>
    <w:unhideWhenUsed/>
    <w:qFormat/>
    <w:pPr>
      <w:spacing w:after="40" w:line="240" w:lineRule="auto"/>
    </w:pPr>
    <w:rPr>
      <w:sz w:val="18"/>
    </w:rPr>
  </w:style>
  <w:style w:type="paragraph" w:styleId="831">
    <w:name w:val="toc 6"/>
    <w:basedOn w:val="802"/>
    <w:next w:val="802"/>
    <w:uiPriority w:val="39"/>
    <w:unhideWhenUsed/>
    <w:qFormat/>
    <w:pPr>
      <w:ind w:left="1417" w:right="0" w:firstLine="0"/>
      <w:spacing w:after="57"/>
    </w:pPr>
  </w:style>
  <w:style w:type="paragraph" w:styleId="832">
    <w:name w:val="table of figures"/>
    <w:basedOn w:val="802"/>
    <w:next w:val="802"/>
    <w:uiPriority w:val="99"/>
    <w:unhideWhenUsed/>
    <w:qFormat/>
    <w:pPr>
      <w:spacing w:after="0" w:afterAutospacing="0"/>
    </w:pPr>
  </w:style>
  <w:style w:type="paragraph" w:styleId="833">
    <w:name w:val="toc 2"/>
    <w:basedOn w:val="802"/>
    <w:next w:val="802"/>
    <w:uiPriority w:val="39"/>
    <w:unhideWhenUsed/>
    <w:qFormat/>
    <w:pPr>
      <w:ind w:left="283" w:right="0" w:firstLine="0"/>
      <w:spacing w:after="57"/>
    </w:pPr>
  </w:style>
  <w:style w:type="paragraph" w:styleId="834">
    <w:name w:val="toc 9"/>
    <w:basedOn w:val="802"/>
    <w:next w:val="802"/>
    <w:uiPriority w:val="39"/>
    <w:unhideWhenUsed/>
    <w:qFormat/>
    <w:pPr>
      <w:ind w:left="2268" w:right="0" w:firstLine="0"/>
      <w:spacing w:after="57"/>
    </w:pPr>
  </w:style>
  <w:style w:type="paragraph" w:styleId="835">
    <w:name w:val="Body Text 2"/>
    <w:basedOn w:val="802"/>
    <w:uiPriority w:val="0"/>
    <w:qFormat/>
    <w:pPr>
      <w:spacing w:line="440" w:lineRule="exact"/>
    </w:pPr>
    <w:rPr>
      <w:rFonts w:ascii="楷体_GB2312" w:eastAsia="楷体_GB2312"/>
      <w:sz w:val="28"/>
    </w:rPr>
  </w:style>
  <w:style w:type="paragraph" w:styleId="836">
    <w:name w:val="Normal (Web)"/>
    <w:basedOn w:val="802"/>
    <w:uiPriority w:val="99"/>
    <w:unhideWhenUsed/>
    <w:qFormat/>
    <w:pPr>
      <w:jc w:val="left"/>
      <w:spacing w:before="100" w:beforeAutospacing="1" w:after="100" w:afterAutospacing="1"/>
      <w:widowControl/>
    </w:pPr>
    <w:rPr>
      <w:rFonts w:ascii="宋体" w:hAnsi="宋体" w:cs="宋体"/>
      <w:sz w:val="24"/>
    </w:rPr>
  </w:style>
  <w:style w:type="paragraph" w:styleId="837">
    <w:name w:val="Title"/>
    <w:basedOn w:val="802"/>
    <w:next w:val="802"/>
    <w:link w:val="857"/>
    <w:uiPriority w:val="10"/>
    <w:qFormat/>
    <w:pPr>
      <w:contextualSpacing/>
      <w:spacing w:before="300" w:after="200"/>
    </w:pPr>
    <w:rPr>
      <w:sz w:val="48"/>
      <w:szCs w:val="48"/>
    </w:rPr>
  </w:style>
  <w:style w:type="paragraph" w:styleId="838">
    <w:name w:val="Body Text First Indent 2"/>
    <w:basedOn w:val="818"/>
    <w:uiPriority w:val="0"/>
    <w:qFormat/>
    <w:pPr>
      <w:ind w:left="420" w:firstLine="420"/>
      <w:spacing w:after="120"/>
    </w:pPr>
    <w:rPr>
      <w:rFonts w:ascii="Times New Roman" w:eastAsia="宋体"/>
      <w:sz w:val="21"/>
      <w:szCs w:val="24"/>
    </w:rPr>
  </w:style>
  <w:style w:type="table" w:styleId="8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0">
    <w:name w:val="endnote reference"/>
    <w:uiPriority w:val="99"/>
    <w:semiHidden/>
    <w:unhideWhenUsed/>
    <w:qFormat/>
    <w:rPr>
      <w:vertAlign w:val="superscript"/>
    </w:rPr>
  </w:style>
  <w:style w:type="character" w:styleId="841">
    <w:name w:val="Hyperlink"/>
    <w:uiPriority w:val="99"/>
    <w:unhideWhenUsed/>
    <w:qFormat/>
    <w:rPr>
      <w:color w:val="0000ff" w:themeColor="hyperlink"/>
      <w:u w:val="single"/>
      <w14:textFill>
        <w14:solidFill>
          <w14:schemeClr w14:val="hlink"/>
        </w14:solidFill>
      </w14:textFill>
    </w:rPr>
  </w:style>
  <w:style w:type="character" w:styleId="842">
    <w:name w:val="footnote reference"/>
    <w:uiPriority w:val="99"/>
    <w:unhideWhenUsed/>
    <w:qFormat/>
    <w:rPr>
      <w:vertAlign w:val="superscript"/>
    </w:rPr>
  </w:style>
  <w:style w:type="paragraph" w:styleId="843"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paragraph" w:styleId="844" w:customStyle="1">
    <w:name w:val="正文1"/>
    <w:basedOn w:val="802"/>
    <w:uiPriority w:val="0"/>
    <w:qFormat/>
    <w:pPr>
      <w:contextualSpacing/>
      <w:ind w:firstLine="200"/>
      <w:jc w:val="left"/>
      <w:spacing w:before="120" w:after="120"/>
      <w:widowControl/>
    </w:pPr>
    <w:rPr>
      <w:rFonts w:ascii="Calibri" w:hAnsi="Calibri" w:eastAsia="Adobe 仿宋 Std R" w:cs="Times New Roman"/>
      <w:szCs w:val="21"/>
    </w:rPr>
  </w:style>
  <w:style w:type="paragraph" w:styleId="845" w:customStyle="1">
    <w:name w:val="首行缩进"/>
    <w:basedOn w:val="802"/>
    <w:uiPriority w:val="0"/>
    <w:qFormat/>
    <w:pPr>
      <w:ind w:firstLine="420"/>
      <w:spacing w:line="360" w:lineRule="auto"/>
    </w:pPr>
    <w:rPr>
      <w:sz w:val="20"/>
    </w:rPr>
  </w:style>
  <w:style w:type="character" w:styleId="846" w:customStyle="1">
    <w:name w:val="Heading 1 Char"/>
    <w:link w:val="803"/>
    <w:uiPriority w:val="9"/>
    <w:qFormat/>
    <w:rPr>
      <w:rFonts w:ascii="Arial" w:hAnsi="Arial" w:eastAsia="Arial" w:cs="Arial"/>
      <w:sz w:val="40"/>
      <w:szCs w:val="40"/>
    </w:rPr>
  </w:style>
  <w:style w:type="character" w:styleId="847" w:customStyle="1">
    <w:name w:val="Heading 2 Char"/>
    <w:link w:val="804"/>
    <w:uiPriority w:val="9"/>
    <w:qFormat/>
    <w:rPr>
      <w:rFonts w:ascii="Arial" w:hAnsi="Arial" w:eastAsia="Arial" w:cs="Arial"/>
      <w:sz w:val="34"/>
    </w:rPr>
  </w:style>
  <w:style w:type="character" w:styleId="848" w:customStyle="1">
    <w:name w:val="Heading 3 Char"/>
    <w:link w:val="805"/>
    <w:uiPriority w:val="9"/>
    <w:qFormat/>
    <w:rPr>
      <w:rFonts w:ascii="Arial" w:hAnsi="Arial" w:eastAsia="Arial" w:cs="Arial"/>
      <w:sz w:val="30"/>
      <w:szCs w:val="30"/>
    </w:rPr>
  </w:style>
  <w:style w:type="character" w:styleId="849" w:customStyle="1">
    <w:name w:val="Heading 4 Char"/>
    <w:link w:val="806"/>
    <w:uiPriority w:val="9"/>
    <w:qFormat/>
    <w:rPr>
      <w:rFonts w:ascii="Arial" w:hAnsi="Arial" w:eastAsia="Arial" w:cs="Arial"/>
      <w:b/>
      <w:bCs/>
      <w:sz w:val="26"/>
      <w:szCs w:val="26"/>
    </w:rPr>
  </w:style>
  <w:style w:type="character" w:styleId="850" w:customStyle="1">
    <w:name w:val="Heading 5 Char"/>
    <w:link w:val="807"/>
    <w:uiPriority w:val="9"/>
    <w:qFormat/>
    <w:rPr>
      <w:rFonts w:ascii="Arial" w:hAnsi="Arial" w:eastAsia="Arial" w:cs="Arial"/>
      <w:b/>
      <w:bCs/>
      <w:sz w:val="24"/>
      <w:szCs w:val="24"/>
    </w:rPr>
  </w:style>
  <w:style w:type="character" w:styleId="851" w:customStyle="1">
    <w:name w:val="Heading 6 Char"/>
    <w:link w:val="808"/>
    <w:uiPriority w:val="9"/>
    <w:qFormat/>
    <w:rPr>
      <w:rFonts w:ascii="Arial" w:hAnsi="Arial" w:eastAsia="Arial" w:cs="Arial"/>
      <w:b/>
      <w:bCs/>
      <w:sz w:val="22"/>
      <w:szCs w:val="22"/>
    </w:rPr>
  </w:style>
  <w:style w:type="character" w:styleId="852" w:customStyle="1">
    <w:name w:val="Heading 7 Char"/>
    <w:link w:val="809"/>
    <w:uiPriority w:val="9"/>
    <w:qFormat/>
    <w:rPr>
      <w:rFonts w:ascii="Arial" w:hAnsi="Arial" w:eastAsia="Arial" w:cs="Arial"/>
      <w:b/>
      <w:bCs/>
      <w:i/>
      <w:iCs/>
      <w:sz w:val="22"/>
      <w:szCs w:val="22"/>
    </w:rPr>
  </w:style>
  <w:style w:type="character" w:styleId="853" w:customStyle="1">
    <w:name w:val="Heading 8 Char"/>
    <w:link w:val="810"/>
    <w:uiPriority w:val="9"/>
    <w:qFormat/>
    <w:rPr>
      <w:rFonts w:ascii="Arial" w:hAnsi="Arial" w:eastAsia="Arial" w:cs="Arial"/>
      <w:i/>
      <w:iCs/>
      <w:sz w:val="22"/>
      <w:szCs w:val="22"/>
    </w:rPr>
  </w:style>
  <w:style w:type="character" w:styleId="854" w:customStyle="1">
    <w:name w:val="Heading 9 Char"/>
    <w:link w:val="811"/>
    <w:uiPriority w:val="9"/>
    <w:qFormat/>
    <w:rPr>
      <w:rFonts w:ascii="Arial" w:hAnsi="Arial" w:eastAsia="Arial" w:cs="Arial"/>
      <w:i/>
      <w:iCs/>
      <w:sz w:val="21"/>
      <w:szCs w:val="21"/>
    </w:rPr>
  </w:style>
  <w:style w:type="paragraph" w:styleId="855">
    <w:name w:val="List Paragraph"/>
    <w:basedOn w:val="802"/>
    <w:uiPriority w:val="34"/>
    <w:qFormat/>
    <w:pPr>
      <w:contextualSpacing/>
      <w:ind w:left="720"/>
    </w:p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character" w:styleId="857" w:customStyle="1">
    <w:name w:val="Title Char"/>
    <w:link w:val="837"/>
    <w:uiPriority w:val="10"/>
    <w:qFormat/>
    <w:rPr>
      <w:sz w:val="48"/>
      <w:szCs w:val="48"/>
    </w:rPr>
  </w:style>
  <w:style w:type="character" w:styleId="858" w:customStyle="1">
    <w:name w:val="Subtitle Char"/>
    <w:link w:val="829"/>
    <w:uiPriority w:val="11"/>
    <w:qFormat/>
    <w:rPr>
      <w:sz w:val="24"/>
      <w:szCs w:val="24"/>
    </w:rPr>
  </w:style>
  <w:style w:type="paragraph" w:styleId="859">
    <w:name w:val="Quote"/>
    <w:basedOn w:val="802"/>
    <w:next w:val="802"/>
    <w:link w:val="860"/>
    <w:uiPriority w:val="29"/>
    <w:qFormat/>
    <w:pPr>
      <w:ind w:left="720" w:right="720"/>
    </w:pPr>
    <w:rPr>
      <w:i/>
    </w:rPr>
  </w:style>
  <w:style w:type="character" w:styleId="860" w:customStyle="1">
    <w:name w:val="Quote Char"/>
    <w:link w:val="859"/>
    <w:uiPriority w:val="29"/>
    <w:qFormat/>
    <w:rPr>
      <w:i/>
    </w:rPr>
  </w:style>
  <w:style w:type="paragraph" w:styleId="861">
    <w:name w:val="Intense Quote"/>
    <w:basedOn w:val="802"/>
    <w:next w:val="802"/>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Intense Quote Char"/>
    <w:link w:val="861"/>
    <w:uiPriority w:val="30"/>
    <w:qFormat/>
    <w:rPr>
      <w:i/>
    </w:rPr>
  </w:style>
  <w:style w:type="character" w:styleId="863" w:customStyle="1">
    <w:name w:val="Header Char"/>
    <w:link w:val="826"/>
    <w:uiPriority w:val="99"/>
    <w:qFormat/>
  </w:style>
  <w:style w:type="character" w:styleId="864" w:customStyle="1">
    <w:name w:val="Footer Char"/>
    <w:link w:val="825"/>
    <w:uiPriority w:val="99"/>
    <w:qFormat/>
  </w:style>
  <w:style w:type="character" w:styleId="865" w:customStyle="1">
    <w:name w:val="Caption Char"/>
    <w:link w:val="825"/>
    <w:uiPriority w:val="99"/>
    <w:qFormat/>
  </w:style>
  <w:style w:type="table" w:styleId="8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Footnote Text Char"/>
    <w:link w:val="830"/>
    <w:uiPriority w:val="99"/>
    <w:qFormat/>
    <w:rPr>
      <w:sz w:val="18"/>
    </w:rPr>
  </w:style>
  <w:style w:type="character" w:styleId="992" w:customStyle="1">
    <w:name w:val="Endnote Text Char"/>
    <w:link w:val="824"/>
    <w:uiPriority w:val="99"/>
    <w:qFormat/>
    <w:rPr>
      <w:sz w:val="20"/>
    </w:rPr>
  </w:style>
  <w:style w:type="paragraph" w:styleId="993" w:customStyle="1">
    <w:name w:val="TOC Heading"/>
    <w:uiPriority w:val="39"/>
    <w:unhideWhenUsed/>
    <w:qFormat/>
    <w:rPr>
      <w:rFonts w:hint="default" w:ascii="Times New Roman" w:hAnsi="Times New Roman" w:eastAsia="宋体" w:cs="Times New Roman"/>
    </w:rPr>
  </w:style>
  <w:style w:type="paragraph" w:styleId="994" w:customStyle="1">
    <w:name w:val="标题 11"/>
    <w:basedOn w:val="802"/>
    <w:next w:val="802"/>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995" w:customStyle="1">
    <w:name w:val="标题 31"/>
    <w:basedOn w:val="802"/>
    <w:next w:val="802"/>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996" w:customStyle="1">
    <w:name w:val="标题 41"/>
    <w:basedOn w:val="802"/>
    <w:next w:val="802"/>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997" w:customStyle="1">
    <w:name w:val="标题 51"/>
    <w:basedOn w:val="802"/>
    <w:next w:val="802"/>
    <w:uiPriority w:val="0"/>
    <w:qFormat/>
    <w:pPr>
      <w:keepLines/>
      <w:keepNext/>
      <w:spacing w:before="280" w:after="290" w:line="376" w:lineRule="auto"/>
      <w:outlineLvl w:val="4"/>
    </w:pPr>
    <w:rPr>
      <w:b/>
      <w:bCs/>
      <w:sz w:val="28"/>
      <w:szCs w:val="28"/>
    </w:rPr>
  </w:style>
  <w:style w:type="paragraph" w:styleId="998" w:customStyle="1">
    <w:name w:val="标题 61"/>
    <w:basedOn w:val="802"/>
    <w:next w:val="802"/>
    <w:uiPriority w:val="0"/>
    <w:qFormat/>
    <w:pPr>
      <w:keepLines/>
      <w:keepNext/>
      <w:spacing w:before="240" w:after="64" w:line="320" w:lineRule="auto"/>
      <w:outlineLvl w:val="5"/>
    </w:pPr>
    <w:rPr>
      <w:rFonts w:ascii="Cambria" w:hAnsi="Cambria" w:eastAsia="宋体" w:cs="Times New Roman"/>
      <w:b/>
      <w:bCs/>
      <w:sz w:val="24"/>
    </w:rPr>
  </w:style>
  <w:style w:type="character" w:styleId="999" w:customStyle="1">
    <w:name w:val="默认段落字体1"/>
    <w:link w:val="802"/>
    <w:uiPriority w:val="0"/>
    <w:semiHidden/>
    <w:qFormat/>
  </w:style>
  <w:style w:type="table" w:styleId="1000" w:customStyle="1">
    <w:name w:val="普通表格1"/>
    <w:uiPriority w:val="0"/>
    <w:semiHidden/>
    <w:qFormat/>
    <w:tblPr/>
  </w:style>
  <w:style w:type="paragraph" w:styleId="1001" w:customStyle="1">
    <w:name w:val="正文缩进1"/>
    <w:basedOn w:val="802"/>
    <w:next w:val="802"/>
    <w:link w:val="1002"/>
    <w:uiPriority w:val="0"/>
    <w:qFormat/>
    <w:pPr>
      <w:ind w:firstLine="420"/>
    </w:pPr>
  </w:style>
  <w:style w:type="character" w:styleId="1002" w:customStyle="1">
    <w:name w:val="正文缩进 Char"/>
    <w:link w:val="1001"/>
    <w:uiPriority w:val="0"/>
    <w:qFormat/>
    <w:rPr>
      <w:sz w:val="21"/>
      <w:szCs w:val="24"/>
    </w:rPr>
  </w:style>
  <w:style w:type="paragraph" w:styleId="1003" w:customStyle="1">
    <w:name w:val="题注1"/>
    <w:basedOn w:val="802"/>
    <w:next w:val="802"/>
    <w:uiPriority w:val="0"/>
    <w:unhideWhenUsed/>
    <w:qFormat/>
    <w:rPr>
      <w:rFonts w:ascii="Arial" w:hAnsi="Arial" w:eastAsia="黑体"/>
      <w:sz w:val="20"/>
    </w:rPr>
  </w:style>
  <w:style w:type="paragraph" w:styleId="1004" w:customStyle="1">
    <w:name w:val="索引 51"/>
    <w:basedOn w:val="802"/>
    <w:next w:val="802"/>
    <w:uiPriority w:val="0"/>
    <w:qFormat/>
    <w:pPr>
      <w:ind w:left="798"/>
      <w:jc w:val="left"/>
      <w:spacing w:line="240" w:lineRule="auto"/>
    </w:pPr>
    <w:rPr>
      <w:rFonts w:ascii="Calibri" w:hAnsi="Calibri" w:eastAsia="Times New Roman" w:cs="Times New Roman"/>
      <w:szCs w:val="24"/>
    </w:rPr>
  </w:style>
  <w:style w:type="paragraph" w:styleId="1005" w:customStyle="1">
    <w:name w:val="文档结构图1"/>
    <w:basedOn w:val="802"/>
    <w:uiPriority w:val="0"/>
    <w:semiHidden/>
    <w:qFormat/>
    <w:pPr>
      <w:shd w:val="clear" w:color="auto" w:fill="000080"/>
    </w:pPr>
  </w:style>
  <w:style w:type="paragraph" w:styleId="1006" w:customStyle="1">
    <w:name w:val="正文文本 31"/>
    <w:basedOn w:val="802"/>
    <w:uiPriority w:val="0"/>
    <w:qFormat/>
    <w:pPr>
      <w:jc w:val="center"/>
    </w:pPr>
    <w:rPr>
      <w:rFonts w:eastAsia="黑体"/>
      <w:sz w:val="72"/>
    </w:rPr>
  </w:style>
  <w:style w:type="paragraph" w:styleId="1007" w:customStyle="1">
    <w:name w:val="正文文本1"/>
    <w:basedOn w:val="802"/>
    <w:uiPriority w:val="99"/>
    <w:qFormat/>
    <w:pPr>
      <w:jc w:val="center"/>
    </w:pPr>
    <w:rPr>
      <w:rFonts w:eastAsia="仿宋_GB2312"/>
      <w:sz w:val="28"/>
    </w:rPr>
  </w:style>
  <w:style w:type="paragraph" w:styleId="1008" w:customStyle="1">
    <w:name w:val="正文文本缩进1"/>
    <w:basedOn w:val="802"/>
    <w:next w:val="1009"/>
    <w:uiPriority w:val="0"/>
    <w:qFormat/>
    <w:pPr>
      <w:ind w:left="420"/>
      <w:spacing w:after="120"/>
    </w:pPr>
  </w:style>
  <w:style w:type="paragraph" w:styleId="1009" w:customStyle="1">
    <w:name w:val="正文首行缩进 21"/>
    <w:basedOn w:val="1008"/>
    <w:next w:val="802"/>
    <w:uiPriority w:val="0"/>
    <w:qFormat/>
    <w:pPr>
      <w:ind w:firstLine="420"/>
    </w:pPr>
    <w:rPr>
      <w:szCs w:val="24"/>
    </w:rPr>
  </w:style>
  <w:style w:type="paragraph" w:styleId="1010" w:customStyle="1">
    <w:name w:val="纯文本1"/>
    <w:basedOn w:val="802"/>
    <w:next w:val="802"/>
    <w:link w:val="1011"/>
    <w:uiPriority w:val="0"/>
    <w:qFormat/>
    <w:rPr>
      <w:rFonts w:ascii="宋体" w:hAnsi="Courier New"/>
      <w:szCs w:val="20"/>
    </w:rPr>
  </w:style>
  <w:style w:type="character" w:styleId="1011" w:customStyle="1">
    <w:name w:val="纯文本 Char"/>
    <w:link w:val="1010"/>
    <w:uiPriority w:val="0"/>
    <w:qFormat/>
    <w:rPr>
      <w:rFonts w:ascii="宋体" w:hAnsi="Courier New" w:eastAsia="宋体"/>
      <w:sz w:val="21"/>
      <w:lang w:val="en-US" w:eastAsia="zh-CN" w:bidi="ar-SA"/>
    </w:rPr>
  </w:style>
  <w:style w:type="paragraph" w:styleId="1012" w:customStyle="1">
    <w:name w:val="日期1"/>
    <w:basedOn w:val="802"/>
    <w:next w:val="802"/>
    <w:uiPriority w:val="0"/>
    <w:qFormat/>
    <w:pPr>
      <w:ind w:left="100"/>
    </w:pPr>
    <w:rPr>
      <w:rFonts w:ascii="黑体" w:eastAsia="黑体"/>
      <w:sz w:val="72"/>
    </w:rPr>
  </w:style>
  <w:style w:type="paragraph" w:styleId="1013" w:customStyle="1">
    <w:name w:val="正文文本缩进 21"/>
    <w:basedOn w:val="802"/>
    <w:uiPriority w:val="0"/>
    <w:qFormat/>
    <w:pPr>
      <w:ind w:right="-2" w:firstLine="540"/>
      <w:tabs>
        <w:tab w:val="left" w:pos="9741" w:leader="none"/>
      </w:tabs>
    </w:pPr>
    <w:rPr>
      <w:rFonts w:eastAsia="仿宋_GB2312"/>
      <w:sz w:val="28"/>
    </w:rPr>
  </w:style>
  <w:style w:type="paragraph" w:styleId="1014" w:customStyle="1">
    <w:name w:val="批注框文本1"/>
    <w:basedOn w:val="802"/>
    <w:uiPriority w:val="0"/>
    <w:semiHidden/>
    <w:qFormat/>
    <w:rPr>
      <w:sz w:val="18"/>
      <w:szCs w:val="18"/>
    </w:rPr>
  </w:style>
  <w:style w:type="paragraph" w:styleId="1015" w:customStyle="1">
    <w:name w:val="页脚1"/>
    <w:basedOn w:val="802"/>
    <w:uiPriority w:val="0"/>
    <w:qFormat/>
    <w:pPr>
      <w:jc w:val="left"/>
      <w:tabs>
        <w:tab w:val="center" w:pos="4153" w:leader="none"/>
        <w:tab w:val="right" w:pos="8306" w:leader="none"/>
      </w:tabs>
    </w:pPr>
    <w:rPr>
      <w:sz w:val="18"/>
      <w:szCs w:val="18"/>
    </w:rPr>
  </w:style>
  <w:style w:type="paragraph" w:styleId="1016" w:customStyle="1">
    <w:name w:val="寄信人地址1"/>
    <w:basedOn w:val="802"/>
    <w:uiPriority w:val="0"/>
    <w:qFormat/>
    <w:rPr>
      <w:rFonts w:ascii="Arial" w:hAnsi="Arial" w:eastAsia="宋体" w:cs="Times New Roman"/>
    </w:rPr>
  </w:style>
  <w:style w:type="paragraph" w:styleId="1017" w:customStyle="1">
    <w:name w:val="页眉1"/>
    <w:basedOn w:val="802"/>
    <w:link w:val="1018"/>
    <w:uiPriority w:val="0"/>
    <w:qFormat/>
    <w:pPr>
      <w:jc w:val="center"/>
      <w:tabs>
        <w:tab w:val="center" w:pos="4153" w:leader="none"/>
        <w:tab w:val="right" w:pos="8306" w:leader="none"/>
      </w:tabs>
      <w:pBdr>
        <w:bottom w:val="single" w:color="000000" w:sz="6" w:space="1"/>
      </w:pBdr>
    </w:pPr>
    <w:rPr>
      <w:sz w:val="18"/>
      <w:szCs w:val="18"/>
    </w:rPr>
  </w:style>
  <w:style w:type="character" w:styleId="1018" w:customStyle="1">
    <w:name w:val="页眉 Char"/>
    <w:link w:val="1017"/>
    <w:uiPriority w:val="0"/>
    <w:qFormat/>
    <w:rPr>
      <w:sz w:val="18"/>
      <w:szCs w:val="18"/>
    </w:rPr>
  </w:style>
  <w:style w:type="paragraph" w:styleId="1019" w:customStyle="1">
    <w:name w:val="目录 11"/>
    <w:basedOn w:val="802"/>
    <w:next w:val="802"/>
    <w:uiPriority w:val="39"/>
    <w:unhideWhenUsed/>
    <w:qFormat/>
    <w:rPr>
      <w:rFonts w:ascii="Calibri" w:hAnsi="Calibri" w:eastAsia="楷体_GB2312" w:cs="Calibri"/>
      <w:sz w:val="28"/>
      <w:szCs w:val="20"/>
    </w:rPr>
  </w:style>
  <w:style w:type="paragraph" w:styleId="1020" w:customStyle="1">
    <w:name w:val="脚注文本1"/>
    <w:basedOn w:val="802"/>
    <w:next w:val="1004"/>
    <w:uiPriority w:val="99"/>
    <w:qFormat/>
    <w:rPr>
      <w:rFonts w:ascii="Times New Roman" w:hAnsi="Times New Roman"/>
      <w:b/>
      <w:bCs/>
      <w:sz w:val="24"/>
      <w:szCs w:val="28"/>
    </w:rPr>
  </w:style>
  <w:style w:type="paragraph" w:styleId="1021" w:customStyle="1">
    <w:name w:val="正文文本缩进 31"/>
    <w:basedOn w:val="802"/>
    <w:uiPriority w:val="0"/>
    <w:qFormat/>
    <w:pPr>
      <w:ind w:firstLine="435"/>
    </w:pPr>
    <w:rPr>
      <w:rFonts w:ascii="仿宋_GB2312" w:hAnsi="宋体" w:eastAsia="仿宋_GB2312"/>
      <w:sz w:val="28"/>
    </w:rPr>
  </w:style>
  <w:style w:type="paragraph" w:styleId="1022" w:customStyle="1">
    <w:name w:val="正文文本 21"/>
    <w:basedOn w:val="802"/>
    <w:uiPriority w:val="0"/>
    <w:qFormat/>
    <w:rPr>
      <w:rFonts w:ascii="仿宋_GB2312" w:eastAsia="仿宋_GB2312"/>
      <w:sz w:val="28"/>
    </w:rPr>
  </w:style>
  <w:style w:type="paragraph" w:styleId="1023" w:customStyle="1">
    <w:name w:val="列表接续 21"/>
    <w:basedOn w:val="802"/>
    <w:next w:val="802"/>
    <w:uiPriority w:val="0"/>
    <w:qFormat/>
    <w:pPr>
      <w:ind w:left="840"/>
      <w:spacing w:after="120"/>
    </w:pPr>
  </w:style>
  <w:style w:type="paragraph" w:styleId="1024" w:customStyle="1">
    <w:name w:val="信息标题1"/>
    <w:basedOn w:val="802"/>
    <w:next w:val="802"/>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025" w:customStyle="1">
    <w:name w:val="普通(网站)1"/>
    <w:basedOn w:val="802"/>
    <w:uiPriority w:val="0"/>
    <w:qFormat/>
    <w:rPr>
      <w:sz w:val="24"/>
    </w:rPr>
  </w:style>
  <w:style w:type="paragraph" w:styleId="1026" w:customStyle="1">
    <w:name w:val="标题1"/>
    <w:basedOn w:val="802"/>
    <w:next w:val="802"/>
    <w:uiPriority w:val="0"/>
    <w:qFormat/>
    <w:pPr>
      <w:jc w:val="center"/>
      <w:spacing w:before="240" w:after="60" w:line="420" w:lineRule="atLeast"/>
      <w:outlineLvl w:val="0"/>
    </w:pPr>
    <w:rPr>
      <w:rFonts w:ascii="Arial" w:hAnsi="Arial"/>
      <w:b/>
      <w:sz w:val="32"/>
      <w:szCs w:val="20"/>
    </w:rPr>
  </w:style>
  <w:style w:type="table" w:styleId="1027" w:customStyle="1">
    <w:name w:val="网格型1"/>
    <w:basedOn w:val="1000"/>
    <w:uiPriority w:val="0"/>
    <w:qFormat/>
    <w:pPr>
      <w:jc w:val="both"/>
      <w:widowControl w:val="off"/>
    </w:pPr>
    <w:rPr>
      <w:rFonts w:ascii="Times New Roman" w:hAnsi="Times New Roman"/>
    </w:rPr>
    <w:tblPr/>
  </w:style>
  <w:style w:type="character" w:styleId="1028" w:customStyle="1">
    <w:name w:val="页码1"/>
    <w:basedOn w:val="999"/>
    <w:link w:val="802"/>
    <w:uiPriority w:val="0"/>
    <w:qFormat/>
  </w:style>
  <w:style w:type="character" w:styleId="1029" w:customStyle="1">
    <w:name w:val="已访问的超链接1"/>
    <w:basedOn w:val="999"/>
    <w:link w:val="802"/>
    <w:uiPriority w:val="0"/>
    <w:qFormat/>
    <w:rPr>
      <w:color w:val="333333"/>
      <w:u w:val="none"/>
    </w:rPr>
  </w:style>
  <w:style w:type="character" w:styleId="1030" w:customStyle="1">
    <w:name w:val="超链接1"/>
    <w:basedOn w:val="999"/>
    <w:link w:val="802"/>
    <w:uiPriority w:val="0"/>
    <w:qFormat/>
    <w:rPr>
      <w:color w:val="333333"/>
      <w:u w:val="none"/>
    </w:rPr>
  </w:style>
  <w:style w:type="character" w:styleId="1031" w:customStyle="1">
    <w:name w:val="列出段落 Char"/>
    <w:link w:val="1032"/>
    <w:uiPriority w:val="0"/>
    <w:qFormat/>
    <w:rPr>
      <w:sz w:val="21"/>
      <w:szCs w:val="24"/>
    </w:rPr>
  </w:style>
  <w:style w:type="paragraph" w:styleId="1032" w:customStyle="1">
    <w:name w:val="列出段落"/>
    <w:basedOn w:val="802"/>
    <w:link w:val="1031"/>
    <w:uiPriority w:val="0"/>
    <w:qFormat/>
    <w:pPr>
      <w:ind w:firstLine="420"/>
    </w:pPr>
  </w:style>
  <w:style w:type="character" w:styleId="1033" w:customStyle="1">
    <w:name w:val="纯文本 Char1"/>
    <w:link w:val="802"/>
    <w:uiPriority w:val="0"/>
    <w:qFormat/>
    <w:rPr>
      <w:rFonts w:ascii="宋体" w:hAnsi="Courier New" w:eastAsia="宋体"/>
      <w:sz w:val="21"/>
      <w:lang w:val="en-US" w:eastAsia="zh-CN" w:bidi="ar-SA"/>
    </w:rPr>
  </w:style>
  <w:style w:type="character" w:styleId="1034" w:customStyle="1">
    <w:name w:val="正文格式 Char1"/>
    <w:link w:val="1035"/>
    <w:uiPriority w:val="0"/>
    <w:qFormat/>
    <w:rPr>
      <w:sz w:val="24"/>
    </w:rPr>
  </w:style>
  <w:style w:type="paragraph" w:styleId="1035" w:customStyle="1">
    <w:name w:val="正文格式"/>
    <w:basedOn w:val="802"/>
    <w:link w:val="1034"/>
    <w:uiPriority w:val="0"/>
    <w:qFormat/>
    <w:pPr>
      <w:ind w:firstLine="482"/>
      <w:spacing w:line="360" w:lineRule="auto"/>
      <w:widowControl/>
    </w:pPr>
    <w:rPr>
      <w:sz w:val="24"/>
      <w:szCs w:val="20"/>
    </w:rPr>
  </w:style>
  <w:style w:type="paragraph" w:styleId="1036" w:customStyle="1">
    <w:name w:val="xl71"/>
    <w:basedOn w:val="80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7" w:customStyle="1">
    <w:name w:val=" Char"/>
    <w:basedOn w:val="1005"/>
    <w:uiPriority w:val="0"/>
    <w:qFormat/>
    <w:pPr>
      <w:spacing w:line="360" w:lineRule="auto"/>
    </w:pPr>
    <w:rPr>
      <w:rFonts w:ascii="Tahoma" w:hAnsi="Tahoma"/>
      <w:sz w:val="24"/>
    </w:rPr>
  </w:style>
  <w:style w:type="paragraph" w:styleId="1038" w:customStyle="1">
    <w:name w:val="xl37"/>
    <w:basedOn w:val="802"/>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39" w:customStyle="1">
    <w:name w:val="xl55"/>
    <w:basedOn w:val="80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40" w:customStyle="1">
    <w:name w:val="xl66"/>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1" w:customStyle="1">
    <w:name w:val="xl74"/>
    <w:basedOn w:val="80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2" w:customStyle="1">
    <w:name w:val="样式 首行缩进:  2 字符"/>
    <w:basedOn w:val="802"/>
    <w:uiPriority w:val="0"/>
    <w:qFormat/>
    <w:pPr>
      <w:ind w:firstLine="560"/>
    </w:pPr>
    <w:rPr>
      <w:rFonts w:ascii="等线" w:hAnsi="等线" w:eastAsia="等线" w:cs="宋体"/>
      <w:sz w:val="24"/>
    </w:rPr>
  </w:style>
  <w:style w:type="paragraph" w:styleId="1043" w:customStyle="1">
    <w:name w:val="xl33"/>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44" w:customStyle="1">
    <w:name w:val="xl84"/>
    <w:basedOn w:val="80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5" w:customStyle="1">
    <w:name w:val="xl34"/>
    <w:basedOn w:val="802"/>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46" w:customStyle="1">
    <w:name w:val=" Char Char Char Char Char Char Char Char"/>
    <w:basedOn w:val="802"/>
    <w:uiPriority w:val="0"/>
    <w:qFormat/>
    <w:pPr>
      <w:jc w:val="left"/>
      <w:spacing w:after="160" w:line="240" w:lineRule="exact"/>
      <w:widowControl/>
    </w:pPr>
    <w:rPr>
      <w:rFonts w:ascii="Verdana" w:hAnsi="Verdana"/>
      <w:sz w:val="20"/>
      <w:szCs w:val="20"/>
      <w:lang w:eastAsia="en-US"/>
    </w:rPr>
  </w:style>
  <w:style w:type="paragraph" w:styleId="1047" w:customStyle="1">
    <w:name w:val="标题5"/>
    <w:basedOn w:val="997"/>
    <w:next w:val="802"/>
    <w:uiPriority w:val="0"/>
    <w:qFormat/>
    <w:pPr>
      <w:spacing w:before="0" w:after="0"/>
    </w:pPr>
    <w:rPr>
      <w:rFonts w:ascii="楷体" w:hAnsi="楷体" w:eastAsia="楷体"/>
    </w:rPr>
  </w:style>
  <w:style w:type="paragraph" w:styleId="1048" w:customStyle="1">
    <w:name w:val="xl51"/>
    <w:basedOn w:val="802"/>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49" w:customStyle="1">
    <w:name w:val="font8"/>
    <w:basedOn w:val="802"/>
    <w:uiPriority w:val="0"/>
    <w:qFormat/>
    <w:pPr>
      <w:jc w:val="left"/>
      <w:spacing w:before="100" w:beforeAutospacing="1" w:after="100" w:afterAutospacing="1"/>
      <w:widowControl/>
    </w:pPr>
    <w:rPr>
      <w:rFonts w:eastAsia="Arial Unicode MS"/>
      <w:sz w:val="18"/>
      <w:szCs w:val="18"/>
    </w:rPr>
  </w:style>
  <w:style w:type="paragraph" w:styleId="1050" w:customStyle="1">
    <w:name w:val="font13"/>
    <w:basedOn w:val="802"/>
    <w:uiPriority w:val="0"/>
    <w:qFormat/>
    <w:pPr>
      <w:jc w:val="left"/>
      <w:spacing w:before="100" w:beforeAutospacing="1" w:after="100" w:afterAutospacing="1"/>
      <w:widowControl/>
    </w:pPr>
    <w:rPr>
      <w:rFonts w:eastAsia="Arial Unicode MS"/>
      <w:b/>
      <w:bCs/>
      <w:sz w:val="18"/>
      <w:szCs w:val="18"/>
    </w:rPr>
  </w:style>
  <w:style w:type="paragraph" w:styleId="1051" w:customStyle="1">
    <w:name w:val="font10"/>
    <w:basedOn w:val="802"/>
    <w:uiPriority w:val="0"/>
    <w:qFormat/>
    <w:pPr>
      <w:jc w:val="left"/>
      <w:spacing w:before="100" w:beforeAutospacing="1" w:after="100" w:afterAutospacing="1"/>
      <w:widowControl/>
    </w:pPr>
    <w:rPr>
      <w:rFonts w:eastAsia="Arial Unicode MS"/>
      <w:sz w:val="18"/>
      <w:szCs w:val="18"/>
    </w:rPr>
  </w:style>
  <w:style w:type="paragraph" w:styleId="1052" w:customStyle="1">
    <w:name w:val="xl43"/>
    <w:basedOn w:val="802"/>
    <w:uiPriority w:val="0"/>
    <w:qFormat/>
    <w:pPr>
      <w:jc w:val="left"/>
      <w:spacing w:before="100" w:beforeAutospacing="1" w:after="100" w:afterAutospacing="1"/>
      <w:widowControl/>
    </w:pPr>
    <w:rPr>
      <w:rFonts w:ascii="Arial Unicode MS" w:hAnsi="Arial Unicode MS" w:eastAsia="Arial Unicode MS"/>
      <w:sz w:val="24"/>
    </w:rPr>
  </w:style>
  <w:style w:type="paragraph" w:styleId="1053" w:customStyle="1">
    <w:name w:val="p0"/>
    <w:basedOn w:val="802"/>
    <w:uiPriority w:val="0"/>
    <w:qFormat/>
    <w:pPr>
      <w:widowControl/>
    </w:pPr>
    <w:rPr>
      <w:rFonts w:ascii="Times New Roman" w:hAnsi="Times New Roman"/>
      <w:szCs w:val="21"/>
    </w:rPr>
  </w:style>
  <w:style w:type="paragraph" w:styleId="1054" w:customStyle="1">
    <w:name w:val="xl77"/>
    <w:basedOn w:val="80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55" w:customStyle="1">
    <w:name w:val="xl30"/>
    <w:basedOn w:val="802"/>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56" w:customStyle="1">
    <w:name w:val="xl31"/>
    <w:basedOn w:val="8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57" w:customStyle="1">
    <w:name w:val="xl46"/>
    <w:basedOn w:val="802"/>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58" w:customStyle="1">
    <w:name w:val="xl41"/>
    <w:basedOn w:val="80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9" w:customStyle="1">
    <w:name w:val="font5"/>
    <w:basedOn w:val="802"/>
    <w:uiPriority w:val="0"/>
    <w:qFormat/>
    <w:pPr>
      <w:jc w:val="left"/>
      <w:spacing w:before="100" w:beforeAutospacing="1" w:after="100" w:afterAutospacing="1"/>
      <w:widowControl/>
    </w:pPr>
    <w:rPr>
      <w:rFonts w:hint="eastAsia" w:ascii="宋体" w:hAnsi="宋体"/>
      <w:sz w:val="18"/>
      <w:szCs w:val="18"/>
    </w:rPr>
  </w:style>
  <w:style w:type="paragraph" w:styleId="1060" w:customStyle="1">
    <w:name w:val="xl32"/>
    <w:basedOn w:val="8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1" w:customStyle="1">
    <w:name w:val="font12"/>
    <w:basedOn w:val="802"/>
    <w:uiPriority w:val="0"/>
    <w:qFormat/>
    <w:pPr>
      <w:jc w:val="left"/>
      <w:spacing w:before="100" w:beforeAutospacing="1" w:after="100" w:afterAutospacing="1"/>
      <w:widowControl/>
    </w:pPr>
    <w:rPr>
      <w:rFonts w:eastAsia="Arial Unicode MS"/>
      <w:color w:val="333333"/>
      <w:sz w:val="18"/>
      <w:szCs w:val="18"/>
    </w:rPr>
  </w:style>
  <w:style w:type="paragraph" w:styleId="1062" w:customStyle="1">
    <w:name w:val="xl28"/>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3" w:customStyle="1">
    <w:name w:val="xl60"/>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64" w:customStyle="1">
    <w:name w:val="xl73"/>
    <w:basedOn w:val="80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65" w:customStyle="1">
    <w:name w:val="font11"/>
    <w:basedOn w:val="802"/>
    <w:uiPriority w:val="0"/>
    <w:qFormat/>
    <w:pPr>
      <w:jc w:val="left"/>
      <w:spacing w:before="100" w:beforeAutospacing="1" w:after="100" w:afterAutospacing="1"/>
      <w:widowControl/>
    </w:pPr>
    <w:rPr>
      <w:rFonts w:hint="eastAsia" w:ascii="宋体" w:hAnsi="宋体"/>
      <w:color w:val="333333"/>
      <w:sz w:val="18"/>
      <w:szCs w:val="18"/>
    </w:rPr>
  </w:style>
  <w:style w:type="paragraph" w:styleId="1066" w:customStyle="1">
    <w:name w:val="xl29"/>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7" w:customStyle="1">
    <w:name w:val=" Char Char Char Char Char Char Char Char Char Char Char Char Char"/>
    <w:basedOn w:val="802"/>
    <w:uiPriority w:val="0"/>
    <w:qFormat/>
    <w:pPr>
      <w:jc w:val="left"/>
      <w:spacing w:after="160" w:line="240" w:lineRule="exact"/>
      <w:widowControl/>
    </w:pPr>
    <w:rPr>
      <w:rFonts w:ascii="Verdana" w:hAnsi="Verdana"/>
      <w:sz w:val="20"/>
      <w:szCs w:val="20"/>
      <w:lang w:eastAsia="en-US"/>
    </w:rPr>
  </w:style>
  <w:style w:type="paragraph" w:styleId="1068" w:customStyle="1">
    <w:name w:val="Char"/>
    <w:basedOn w:val="802"/>
    <w:uiPriority w:val="0"/>
    <w:qFormat/>
    <w:pPr>
      <w:tabs>
        <w:tab w:val="left" w:pos="360" w:leader="none"/>
      </w:tabs>
    </w:pPr>
    <w:rPr>
      <w:sz w:val="24"/>
    </w:rPr>
  </w:style>
  <w:style w:type="paragraph" w:styleId="1069"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70" w:customStyle="1">
    <w:name w:val="xl38"/>
    <w:basedOn w:val="8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71" w:customStyle="1">
    <w:name w:val="xl36"/>
    <w:basedOn w:val="802"/>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72" w:customStyle="1">
    <w:name w:val="xl59"/>
    <w:basedOn w:val="80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73" w:customStyle="1">
    <w:name w:val="xl45"/>
    <w:basedOn w:val="802"/>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74" w:customStyle="1">
    <w:name w:val="WPSOffice手动目录 1"/>
    <w:uiPriority w:val="0"/>
    <w:qFormat/>
    <w:rPr>
      <w:rFonts w:hint="default" w:ascii="Times New Roman" w:hAnsi="Times New Roman" w:eastAsia="宋体" w:cs="Times New Roman"/>
      <w:sz w:val="20"/>
      <w:szCs w:val="20"/>
    </w:rPr>
  </w:style>
  <w:style w:type="paragraph" w:styleId="1075" w:customStyle="1">
    <w:name w:val="Char Char Char Char"/>
    <w:basedOn w:val="1005"/>
    <w:uiPriority w:val="0"/>
    <w:qFormat/>
    <w:pPr>
      <w:spacing w:line="360" w:lineRule="auto"/>
    </w:pPr>
    <w:rPr>
      <w:rFonts w:ascii="Tahoma" w:hAnsi="Tahoma"/>
      <w:sz w:val="24"/>
    </w:rPr>
  </w:style>
  <w:style w:type="paragraph" w:styleId="1076" w:customStyle="1">
    <w:name w:val="xl78"/>
    <w:basedOn w:val="80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77" w:customStyle="1">
    <w:name w:val="xl82"/>
    <w:basedOn w:val="80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78" w:customStyle="1">
    <w:name w:val="xl86"/>
    <w:basedOn w:val="8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9" w:customStyle="1">
    <w:name w:val="xl40"/>
    <w:basedOn w:val="80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0" w:customStyle="1">
    <w:name w:val="xl47"/>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81" w:customStyle="1">
    <w:name w:val="xl67"/>
    <w:basedOn w:val="80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82" w:customStyle="1">
    <w:name w:val="标题6"/>
    <w:basedOn w:val="998"/>
    <w:next w:val="802"/>
    <w:uiPriority w:val="0"/>
    <w:qFormat/>
    <w:pPr>
      <w:numPr>
        <w:ilvl w:val="0"/>
        <w:numId w:val="0"/>
      </w:numPr>
      <w:spacing w:before="0" w:after="0"/>
    </w:pPr>
    <w:rPr>
      <w:rFonts w:ascii="楷体" w:hAnsi="楷体" w:eastAsia="楷体"/>
    </w:rPr>
  </w:style>
  <w:style w:type="paragraph" w:styleId="1083" w:customStyle="1">
    <w:name w:val="xl68"/>
    <w:basedOn w:val="80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84" w:customStyle="1">
    <w:name w:val="Table Paragraph"/>
    <w:basedOn w:val="802"/>
    <w:uiPriority w:val="1"/>
    <w:qFormat/>
    <w:pPr>
      <w:ind w:left="686"/>
      <w:jc w:val="center"/>
    </w:pPr>
    <w:rPr>
      <w:rFonts w:ascii="宋体" w:hAnsi="宋体" w:eastAsia="楷体_GB2312" w:cs="宋体"/>
      <w:sz w:val="22"/>
      <w:szCs w:val="20"/>
      <w:lang w:eastAsia="en-US"/>
    </w:rPr>
  </w:style>
  <w:style w:type="paragraph" w:styleId="1085"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86" w:customStyle="1">
    <w:name w:val="font6"/>
    <w:basedOn w:val="802"/>
    <w:uiPriority w:val="0"/>
    <w:qFormat/>
    <w:pPr>
      <w:jc w:val="left"/>
      <w:spacing w:before="100" w:beforeAutospacing="1" w:after="100" w:afterAutospacing="1"/>
      <w:widowControl/>
    </w:pPr>
    <w:rPr>
      <w:rFonts w:eastAsia="Arial Unicode MS"/>
      <w:sz w:val="18"/>
      <w:szCs w:val="18"/>
    </w:rPr>
  </w:style>
  <w:style w:type="paragraph" w:styleId="1087" w:customStyle="1">
    <w:name w:val="xl81"/>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88" w:customStyle="1">
    <w:name w:val="xl64"/>
    <w:basedOn w:val="80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89" w:customStyle="1">
    <w:name w:val="_"/>
    <w:basedOn w:val="802"/>
    <w:uiPriority w:val="0"/>
    <w:qFormat/>
    <w:pPr>
      <w:ind w:left="480"/>
      <w:spacing w:line="360" w:lineRule="auto"/>
    </w:pPr>
    <w:rPr>
      <w:sz w:val="24"/>
      <w:szCs w:val="20"/>
    </w:rPr>
  </w:style>
  <w:style w:type="paragraph" w:styleId="1090" w:customStyle="1">
    <w:name w:val="xl56"/>
    <w:basedOn w:val="80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91" w:customStyle="1">
    <w:name w:val="xl62"/>
    <w:basedOn w:val="80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2" w:customStyle="1">
    <w:name w:val="xl75"/>
    <w:basedOn w:val="802"/>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93" w:customStyle="1">
    <w:name w:val="xl49"/>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94" w:customStyle="1">
    <w:name w:val="List Paragraph1"/>
    <w:basedOn w:val="802"/>
    <w:uiPriority w:val="99"/>
    <w:qFormat/>
    <w:pPr>
      <w:ind w:firstLine="420"/>
    </w:pPr>
    <w:rPr>
      <w:rFonts w:ascii="Times New Roman" w:hAnsi="Times New Roman" w:eastAsia="仿宋_GB2312"/>
      <w:sz w:val="32"/>
    </w:rPr>
  </w:style>
  <w:style w:type="paragraph" w:styleId="1095" w:customStyle="1">
    <w:name w:val="xl80"/>
    <w:basedOn w:val="802"/>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9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97" w:customStyle="1">
    <w:name w:val="xl39"/>
    <w:basedOn w:val="8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8" w:customStyle="1">
    <w:name w:val="样式 小四 行距: 1.5 倍行距"/>
    <w:basedOn w:val="802"/>
    <w:uiPriority w:val="0"/>
    <w:qFormat/>
    <w:pPr>
      <w:ind w:firstLine="480"/>
      <w:spacing w:line="360" w:lineRule="auto"/>
    </w:pPr>
    <w:rPr>
      <w:szCs w:val="20"/>
    </w:rPr>
  </w:style>
  <w:style w:type="paragraph" w:styleId="1099" w:customStyle="1">
    <w:name w:val="_Style 2"/>
    <w:basedOn w:val="802"/>
    <w:uiPriority w:val="0"/>
    <w:qFormat/>
    <w:pPr>
      <w:ind w:firstLine="420"/>
    </w:pPr>
    <w:rPr>
      <w:rFonts w:ascii="Calibri" w:hAnsi="Calibri"/>
    </w:rPr>
  </w:style>
  <w:style w:type="paragraph" w:styleId="1100" w:customStyle="1">
    <w:name w:val="xl53"/>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01" w:customStyle="1">
    <w:name w:val="xl69"/>
    <w:basedOn w:val="80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2" w:customStyle="1">
    <w:name w:val="font7"/>
    <w:basedOn w:val="802"/>
    <w:uiPriority w:val="0"/>
    <w:qFormat/>
    <w:pPr>
      <w:jc w:val="left"/>
      <w:spacing w:before="100" w:beforeAutospacing="1" w:after="100" w:afterAutospacing="1"/>
      <w:widowControl/>
    </w:pPr>
    <w:rPr>
      <w:rFonts w:eastAsia="Arial Unicode MS"/>
      <w:sz w:val="18"/>
      <w:szCs w:val="18"/>
    </w:rPr>
  </w:style>
  <w:style w:type="paragraph" w:styleId="1103" w:customStyle="1">
    <w:name w:val="xl48"/>
    <w:basedOn w:val="802"/>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104" w:customStyle="1">
    <w:name w:val="font9"/>
    <w:basedOn w:val="802"/>
    <w:uiPriority w:val="0"/>
    <w:qFormat/>
    <w:pPr>
      <w:jc w:val="left"/>
      <w:spacing w:before="100" w:beforeAutospacing="1" w:after="100" w:afterAutospacing="1"/>
      <w:widowControl/>
    </w:pPr>
    <w:rPr>
      <w:rFonts w:eastAsia="Arial Unicode MS"/>
      <w:b/>
      <w:bCs/>
      <w:color w:val="000000"/>
      <w:sz w:val="18"/>
      <w:szCs w:val="18"/>
    </w:rPr>
  </w:style>
  <w:style w:type="paragraph" w:styleId="1105" w:customStyle="1">
    <w:name w:val="xl52"/>
    <w:basedOn w:val="80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106" w:customStyle="1">
    <w:name w:val="xl65"/>
    <w:basedOn w:val="802"/>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07" w:customStyle="1">
    <w:name w:val="一级缩进"/>
    <w:uiPriority w:val="0"/>
    <w:qFormat/>
    <w:pPr>
      <w:numPr>
        <w:ilvl w:val="0"/>
        <w:numId w:val="3"/>
      </w:numPr>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08" w:customStyle="1">
    <w:name w:val="xl83"/>
    <w:basedOn w:val="80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09" w:customStyle="1">
    <w:name w:val="xl85"/>
    <w:basedOn w:val="80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110" w:customStyle="1">
    <w:name w:val="xl70"/>
    <w:basedOn w:val="80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11" w:customStyle="1">
    <w:name w:val="xl44"/>
    <w:basedOn w:val="802"/>
    <w:uiPriority w:val="0"/>
    <w:qFormat/>
    <w:pPr>
      <w:jc w:val="right"/>
      <w:spacing w:before="100" w:beforeAutospacing="1" w:after="100" w:afterAutospacing="1"/>
      <w:widowControl/>
    </w:pPr>
    <w:rPr>
      <w:rFonts w:ascii="Arial Unicode MS" w:hAnsi="Arial Unicode MS" w:eastAsia="Arial Unicode MS"/>
      <w:sz w:val="24"/>
    </w:rPr>
  </w:style>
  <w:style w:type="paragraph" w:styleId="1112" w:customStyle="1">
    <w:name w:val="xl76"/>
    <w:basedOn w:val="80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113" w:customStyle="1">
    <w:name w:val="xl72"/>
    <w:basedOn w:val="8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4" w:customStyle="1">
    <w:name w:val="xl58"/>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15" w:customStyle="1">
    <w:name w:val="xl42"/>
    <w:basedOn w:val="8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116" w:customStyle="1">
    <w:name w:val="xl50"/>
    <w:basedOn w:val="80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17" w:customStyle="1">
    <w:name w:val="xl57"/>
    <w:basedOn w:val="8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118" w:customStyle="1">
    <w:name w:val="xl61"/>
    <w:basedOn w:val="80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19" w:customStyle="1">
    <w:name w:val="xl79"/>
    <w:basedOn w:val="802"/>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120" w:customStyle="1">
    <w:name w:val="列出段落1"/>
    <w:basedOn w:val="802"/>
    <w:uiPriority w:val="34"/>
    <w:qFormat/>
    <w:pPr>
      <w:ind w:firstLine="420"/>
    </w:pPr>
    <w:rPr>
      <w:rFonts w:ascii="Calibri" w:hAnsi="Calibri"/>
    </w:rPr>
  </w:style>
  <w:style w:type="paragraph" w:styleId="1121" w:customStyle="1">
    <w:name w:val="xl54"/>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122"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默认段落字体 Para Char Char Char Char Char Char Char Char Char1 Char Char Char Char Char Char Char"/>
    <w:basedOn w:val="1005"/>
    <w:uiPriority w:val="0"/>
    <w:qFormat/>
    <w:rPr>
      <w:rFonts w:ascii="Tahoma" w:hAnsi="Tahoma"/>
      <w:sz w:val="24"/>
    </w:rPr>
  </w:style>
  <w:style w:type="paragraph" w:styleId="1124" w:customStyle="1">
    <w:name w:val="普通正文"/>
    <w:basedOn w:val="802"/>
    <w:uiPriority w:val="0"/>
    <w:qFormat/>
    <w:pPr>
      <w:ind w:firstLine="480"/>
      <w:jc w:val="left"/>
      <w:spacing w:before="120" w:after="120" w:line="360" w:lineRule="auto"/>
    </w:pPr>
    <w:rPr>
      <w:rFonts w:ascii="Arial" w:hAnsi="Arial"/>
      <w:sz w:val="24"/>
    </w:rPr>
  </w:style>
  <w:style w:type="paragraph" w:styleId="1125" w:customStyle="1">
    <w:name w:val="xl35"/>
    <w:basedOn w:val="802"/>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26" w:customStyle="1">
    <w:name w:val="xl63"/>
    <w:basedOn w:val="802"/>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127"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128" w:customStyle="1">
    <w:name w:val="Body text|1"/>
    <w:basedOn w:val="802"/>
    <w:uiPriority w:val="0"/>
    <w:qFormat/>
    <w:pPr>
      <w:ind w:firstLine="400"/>
      <w:spacing w:line="420"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12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_2_0"/>
    <w:uiPriority w:val="0"/>
    <w:qFormat/>
    <w:pPr>
      <w:jc w:val="both"/>
      <w:widowControl w:val="off"/>
    </w:pPr>
    <w:rPr>
      <w:rFonts w:ascii="Calibri" w:hAnsi="Calibri" w:eastAsia="宋体" w:cs="Times New Roman"/>
      <w:sz w:val="21"/>
      <w:szCs w:val="22"/>
      <w:lang w:val="en-US" w:eastAsia="zh-CN" w:bidi="ar-SA"/>
    </w:rPr>
  </w:style>
  <w:style w:type="character" w:styleId="1133" w:customStyle="1">
    <w:name w:val="font21"/>
    <w:basedOn w:val="812"/>
    <w:uiPriority w:val="0"/>
    <w:qFormat/>
    <w:rPr>
      <w:rFonts w:hint="eastAsia" w:ascii="宋体" w:hAnsi="宋体" w:eastAsia="宋体" w:cs="宋体"/>
      <w:color w:val="000000"/>
      <w:sz w:val="20"/>
      <w:szCs w:val="20"/>
      <w:u w:val="none"/>
    </w:rPr>
  </w:style>
  <w:style w:type="paragraph" w:styleId="1134" w:customStyle="1">
    <w:name w:val="Body text|2"/>
    <w:basedOn w:val="802"/>
    <w:uiPriority w:val="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135" w:customStyle="1">
    <w:name w:val="Table Text"/>
    <w:basedOn w:val="802"/>
    <w:uiPriority w:val="0"/>
    <w:semiHidden/>
    <w:qFormat/>
    <w:rPr>
      <w:rFonts w:ascii="宋体" w:hAnsi="宋体" w:eastAsia="宋体" w:cs="宋体"/>
      <w:sz w:val="24"/>
      <w:szCs w:val="24"/>
    </w:rPr>
  </w:style>
  <w:style w:type="table" w:styleId="1136" w:customStyle="1">
    <w:name w:val="Table Normal"/>
    <w:uiPriority w:val="0"/>
    <w:semiHidden/>
    <w:unhideWhenUsed/>
    <w:qFormat/>
    <w:tblPr>
      <w:tblCellMar>
        <w:left w:w="0" w:type="dxa"/>
        <w:top w:w="0" w:type="dxa"/>
        <w:right w:w="0" w:type="dxa"/>
        <w:bottom w:w="0" w:type="dxa"/>
      </w:tblCellMar>
    </w:tblPr>
  </w:style>
  <w:style w:type="character" w:styleId="1137" w:customStyle="1">
    <w:name w:val="font01"/>
    <w:basedOn w:val="812"/>
    <w:uiPriority w:val="0"/>
    <w:qFormat/>
    <w:rPr>
      <w:rFonts w:hint="eastAsia" w:ascii="宋体" w:hAnsi="宋体" w:eastAsia="宋体" w:cs="宋体"/>
      <w:color w:val="000000"/>
      <w:sz w:val="22"/>
      <w:szCs w:val="22"/>
      <w:u w:val="none"/>
    </w:rPr>
  </w:style>
  <w:style w:type="table" w:styleId="1138" w:customStyle="1">
    <w:name w:val="网格表 4 - 着色 11"/>
    <w:basedOn w:val="813"/>
    <w:uiPriority w:val="49"/>
    <w:qFormat/>
    <w:rPr>
      <w:rFonts w:ascii="等线" w:hAnsi="等线" w:eastAsia="等线" w:cs="Times New Roman"/>
      <w:sz w:val="20"/>
      <w:szCs w:val="20"/>
    </w:rPr>
    <w:tblPr>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band1Horz">
      <w:tcPr>
        <w:shd w:val="clear" w:color="auto" w:fill="dbe5f1" w:themeFill="accent1" w:themeFillTint="33"/>
      </w:tcPr>
    </w:tblStylePr>
    <w:tblStylePr w:type="band1Vert">
      <w:tcPr>
        <w:shd w:val="clear" w:color="auto" w:fill="dbe5f1" w:themeFill="accen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4f81bd" w:themeFill="accent1"/>
        <w:tcBorders>
          <w:top w:val="single" w:color="4F81BD" w:themeColor="accent1" w:sz="4" w:space="0"/>
          <w:left w:val="single" w:color="4F81BD" w:themeColor="accent1" w:sz="4" w:space="0"/>
          <w:bottom w:val="single" w:color="4F81BD" w:themeColor="accent1" w:sz="4" w:space="0"/>
          <w:right w:val="single" w:color="4F81BD" w:themeColor="accent1" w:sz="4" w:space="0"/>
          <w:insideH w:val="none" w:color="000000" w:sz="4" w:space="0"/>
          <w:insideV w:val="none" w:color="000000" w:sz="4" w:space="0"/>
        </w:tcBorders>
      </w:tcPr>
    </w:tblStylePr>
    <w:tblStylePr w:type="lastCol">
      <w:rPr>
        <w:b/>
        <w:bCs/>
      </w:rPr>
    </w:tblStylePr>
    <w:tblStylePr w:type="lastRow">
      <w:rPr>
        <w:b/>
        <w:bCs/>
      </w:rPr>
      <w:tcPr>
        <w:tcBorders>
          <w:top w:val="single" w:color="4F81BD" w:themeColor="accent1" w:sz="4" w:space="0"/>
        </w:tcBorders>
      </w:tcPr>
    </w:tblStylePr>
  </w:style>
  <w:style w:type="numbering" w:styleId="1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谢静</cp:lastModifiedBy>
  <cp:revision>5</cp:revision>
  <dcterms:created xsi:type="dcterms:W3CDTF">2018-11-06T08:29:00Z</dcterms:created>
  <dcterms:modified xsi:type="dcterms:W3CDTF">2025-12-16T03:54:52Z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8E813C88735C43048C8B7B0124319FBC_13</vt:lpwstr>
  </property>
  <property fmtid="{D5CDD505-2E9C-101B-9397-08002B2CF9AE}" pid="4" name="KSOTemplateDocerSaveRecord">
    <vt:lpwstr>eyJoZGlkIjoiMDBmMTJjYmNiMjg4ZjBjNzI1MTVjMTYzYzgzYTZmZWIiLCJ1c2VySWQiOiI1MDMzNTA2ODIifQ==</vt:lpwstr>
  </property>
</Properties>
</file>